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widowControl w:val="0"/>
        <w:spacing w:line="480" w:lineRule="auto" w:before="3000" w:after="0"/>
      </w:pPr>
      <w:r>
        <w:rPr>
          <w:rFonts w:ascii="Times New Roman" w:hAnsi="Times New Roman"/>
          <w:b w:val="0"/>
          <w:color w:val="000000"/>
          <w:sz w:val="24"/>
        </w:rPr>
      </w:r>
    </w:p>
    <w:p>
      <w:pPr>
        <w:widowControl w:val="0"/>
        <w:spacing w:line="480" w:lineRule="auto" w:before="0" w:after="0"/>
        <w:jc w:val="center"/>
      </w:pPr>
      <w:r>
        <w:rPr>
          <w:rFonts w:ascii="Times New Roman" w:hAnsi="Times New Roman"/>
          <w:b/>
          <w:color w:val="000000"/>
          <w:sz w:val="24"/>
        </w:rPr>
        <w:t>The Financial Opportunity Cost of Continued Navy Service</w:t>
      </w:r>
    </w:p>
    <w:p>
      <w:pPr>
        <w:widowControl w:val="0"/>
        <w:spacing w:line="480" w:lineRule="auto" w:before="0" w:after="0"/>
        <w:jc w:val="center"/>
      </w:pPr>
      <w:r>
        <w:rPr>
          <w:rFonts w:ascii="Times New Roman" w:hAnsi="Times New Roman"/>
          <w:b/>
          <w:color w:val="000000"/>
          <w:sz w:val="24"/>
        </w:rPr>
        <w:t>A General Internist Case</w:t>
      </w:r>
    </w:p>
    <w:p>
      <w:pPr>
        <w:widowControl w:val="0"/>
        <w:spacing w:line="480" w:lineRule="auto" w:before="0" w:after="0"/>
        <w:jc w:val="center"/>
      </w:pPr>
      <w:r>
        <w:rPr>
          <w:rFonts w:ascii="Times New Roman" w:hAnsi="Times New Roman"/>
          <w:b w:val="0"/>
          <w:color w:val="000000"/>
          <w:sz w:val="24"/>
        </w:rPr>
        <w:t>James M. Day</w:t>
      </w:r>
    </w:p>
    <w:p>
      <w:pPr>
        <w:widowControl w:val="0"/>
        <w:spacing w:line="480" w:lineRule="auto" w:before="0" w:after="0"/>
        <w:jc w:val="center"/>
      </w:pPr>
      <w:r>
        <w:rPr>
          <w:rFonts w:ascii="Times New Roman" w:hAnsi="Times New Roman"/>
          <w:b w:val="0"/>
          <w:color w:val="000000"/>
          <w:sz w:val="24"/>
        </w:rPr>
        <w:t>September 29, 2026</w:t>
      </w:r>
    </w:p>
    <w:p>
      <w:pPr>
        <w:widowControl w:val="0"/>
        <w:spacing w:line="480" w:lineRule="auto" w:before="0" w:after="0"/>
        <w:jc w:val="center"/>
      </w:pPr>
      <w:r>
        <w:rPr>
          <w:rFonts w:ascii="Times New Roman" w:hAnsi="Times New Roman"/>
          <w:b w:val="0"/>
          <w:color w:val="000000"/>
          <w:sz w:val="24"/>
        </w:rPr>
        <w:t>BUS 620 - Micro and Macro Economics</w:t>
      </w:r>
    </w:p>
    <w:p>
      <w:pPr>
        <w:widowControl w:val="0"/>
        <w:spacing w:line="480" w:lineRule="auto" w:before="0" w:after="0"/>
        <w:jc w:val="center"/>
      </w:pPr>
      <w:r>
        <w:rPr>
          <w:rFonts w:ascii="Times New Roman" w:hAnsi="Times New Roman"/>
          <w:b w:val="0"/>
          <w:color w:val="000000"/>
          <w:sz w:val="24"/>
        </w:rPr>
        <w:t>Individual Research Paper - A Global Challenge, Analyzed</w:t>
      </w:r>
    </w:p>
    <w:p>
      <w:r>
        <w:br w:type="page"/>
      </w:r>
    </w:p>
    <w:p>
      <w:pPr>
        <w:keepNext/>
        <w:widowControl w:val="0"/>
        <w:spacing w:line="480" w:lineRule="auto" w:before="0" w:after="0"/>
      </w:pPr>
      <w:r>
        <w:rPr>
          <w:rFonts w:ascii="Times New Roman" w:hAnsi="Times New Roman"/>
          <w:b/>
          <w:color w:val="000000"/>
          <w:sz w:val="24"/>
        </w:rPr>
        <w:t>Challenge and approach</w:t>
      </w:r>
    </w:p>
    <w:p>
      <w:pPr>
        <w:widowControl w:val="0"/>
        <w:spacing w:line="480" w:lineRule="auto" w:before="0" w:after="0"/>
      </w:pPr>
      <w:r>
        <w:rPr>
          <w:rFonts w:ascii="Times New Roman" w:hAnsi="Times New Roman"/>
          <w:b w:val="0"/>
          <w:color w:val="000000"/>
          <w:sz w:val="24"/>
        </w:rPr>
        <w:t>The Navy needs to retain physicians without assuming that every civilian salary advantage requires an equivalent bonus. The Government Accountability Office (GAO, 2020) found that military cash compensation trailed civilian medians in 21 of 27 medical and dental specialties reviewed. Its June 2026 update still lists recommendations on replacement costs, retention data, and civilian wages as unimplemented. This continuing information gap supports evaluating compensation more carefully.</w:t>
      </w:r>
    </w:p>
    <w:p>
      <w:pPr>
        <w:widowControl w:val="0"/>
        <w:spacing w:line="480" w:lineRule="auto" w:before="0" w:after="0"/>
      </w:pPr>
      <w:r>
        <w:rPr>
          <w:rFonts w:ascii="Times New Roman" w:hAnsi="Times New Roman"/>
          <w:b w:val="0"/>
          <w:color w:val="000000"/>
          <w:sz w:val="24"/>
        </w:rPr>
        <w:t>The economic question is what a physician gives up by staying. Past medical-school support is a sunk cost; future pay, pension eligibility, and working conditions affect the decision (Frank et al., 2022). This case compares an O-4 general internist leaving at 10 active-service years with remaining to 20. The physician is married, age 37, and stationed in San Diego. Marit Health's (2026) $459,057 local compensation average is a benchmark, not a matched offer. The model treats it as civilian employee cash pay and adds benefits separately. Appendix A specifies all inputs.</w:t>
      </w:r>
    </w:p>
    <w:p>
      <w:pPr>
        <w:widowControl w:val="0"/>
        <w:spacing w:line="480" w:lineRule="auto" w:before="0" w:after="0"/>
      </w:pPr>
      <w:r>
        <w:rPr>
          <w:rFonts w:ascii="Times New Roman" w:hAnsi="Times New Roman"/>
          <w:b w:val="0"/>
          <w:color w:val="000000"/>
          <w:sz w:val="24"/>
        </w:rPr>
        <w:t>Both comparisons use the same O-4 longevity increases and pension base. Cash flows are discounted at 5% real and pension payments at an illustrative 3%. The latter reflects inflation protection, but alternative rates are tested. All amounts are in constant 2026 dollars; reaching retirement eligibility is assumed, not guaranteed.</w:t>
      </w:r>
    </w:p>
    <w:p>
      <w:r>
        <w:br w:type="page"/>
      </w:r>
    </w:p>
    <w:p>
      <w:pPr>
        <w:keepNext/>
        <w:widowControl w:val="0"/>
        <w:spacing w:line="480" w:lineRule="auto" w:before="0" w:after="0"/>
      </w:pPr>
      <w:r>
        <w:rPr>
          <w:rFonts w:ascii="Times New Roman" w:hAnsi="Times New Roman"/>
          <w:b/>
          <w:color w:val="000000"/>
          <w:sz w:val="24"/>
        </w:rPr>
        <w:t>Results and their meaning</w:t>
      </w:r>
    </w:p>
    <w:p>
      <w:pPr>
        <w:widowControl w:val="0"/>
        <w:spacing w:line="480" w:lineRule="auto" w:before="0" w:after="0"/>
      </w:pPr>
      <w:r>
        <w:rPr>
          <w:rFonts w:ascii="Times New Roman" w:hAnsi="Times New Roman"/>
          <w:b w:val="0"/>
          <w:color w:val="000000"/>
          <w:sz w:val="24"/>
        </w:rPr>
        <w:t>The four-year gross-pay comparison produces a $636,209 present-value civilian advantage, but stops before pension eligibility. Across the full ten years, the gross civilian advantage is $1,349,196, offset by a conditional pension worth $733,228. Thus, staying costs $615,968 on the gross basis. Figure 1 shows this cost falling as retirement approaches, with break-even near 14.3 years. These calculations include longevity increases without promotion; Appendix B makes the annual arithmetic visible.</w:t>
      </w:r>
    </w:p>
    <w:p>
      <w:pPr>
        <w:widowControl w:val="0"/>
        <w:spacing w:line="480" w:lineRule="auto" w:before="0" w:after="0"/>
      </w:pPr>
      <w:r>
        <w:rPr>
          <w:rFonts w:ascii="Times New Roman" w:hAnsi="Times New Roman"/>
          <w:b w:val="0"/>
          <w:color w:val="000000"/>
          <w:sz w:val="24"/>
        </w:rPr>
        <w:t>Taxes and benefits substantially change that comparison. Tax-free housing and subsistence allowances favor Navy pay, while civilian wages face income and payroll taxes. After adding employer retirement contributions and subtracting civilian insurance and health premiums, staying costs $58,419. Break-even moves to 10.9 years. This is a tax-adjusted compensation comparison, not spendable income: retirement contributions are included at face value, and later withdrawal taxes are omitted. Appendix C identifies the tax brackets and simplifications.</w:t>
      </w:r>
    </w:p>
    <w:p>
      <w:pPr>
        <w:widowControl w:val="0"/>
        <w:spacing w:line="480" w:lineRule="auto" w:before="0" w:after="0"/>
      </w:pPr>
      <w:r>
        <w:rPr>
          <w:rFonts w:ascii="Times New Roman" w:hAnsi="Times New Roman"/>
          <w:b w:val="0"/>
          <w:color w:val="000000"/>
          <w:sz w:val="24"/>
        </w:rPr>
        <w:t>Figure 2 then adds retiree health coverage, bringing staying to approximately break-even. A qualifying Navy domicile without state income tax raises its value to $98,456; assumed continuation pay raises it to $114,808. A 5% civilian earnings penalty after military retirement lowers it to $29,072. These are conditional scenarios, not a confidence interval. The near-zero results should not be presented as proof that staying is financially superior.</w:t>
      </w:r>
    </w:p>
    <w:p>
      <w:r>
        <w:br w:type="page"/>
      </w:r>
    </w:p>
    <w:p>
      <w:pPr>
        <w:keepNext/>
        <w:widowControl w:val="0"/>
        <w:spacing w:line="480" w:lineRule="auto" w:before="0" w:after="0"/>
      </w:pPr>
      <w:r>
        <w:rPr>
          <w:rFonts w:ascii="Times New Roman" w:hAnsi="Times New Roman"/>
          <w:b/>
          <w:color w:val="000000"/>
          <w:sz w:val="24"/>
        </w:rPr>
        <w:t>Policy implications and supporting evidence</w:t>
      </w:r>
    </w:p>
    <w:p>
      <w:pPr>
        <w:widowControl w:val="0"/>
        <w:spacing w:line="480" w:lineRule="auto" w:before="0" w:after="0"/>
      </w:pPr>
      <w:r>
        <w:rPr>
          <w:rFonts w:ascii="Times New Roman" w:hAnsi="Times New Roman"/>
          <w:b w:val="0"/>
          <w:color w:val="000000"/>
          <w:sz w:val="24"/>
        </w:rPr>
        <w:t>The gross and adjusted break-even estimates answer different questions; neither identifies when bonuses cause the largest retention response. The size of their difference motivates testing whether physicians understand total compensation. Workload, deployment, autonomy, and family needs may instead explain departures. Baseline knowledge and exit reasons should determine whether communication or changes to pay and working conditions deserve priority.</w:t>
      </w:r>
    </w:p>
    <w:p>
      <w:pPr>
        <w:widowControl w:val="0"/>
        <w:spacing w:line="480" w:lineRule="auto" w:before="0" w:after="0"/>
      </w:pPr>
      <w:r>
        <w:rPr>
          <w:rFonts w:ascii="Times New Roman" w:hAnsi="Times New Roman"/>
          <w:b w:val="0"/>
          <w:color w:val="000000"/>
          <w:sz w:val="24"/>
        </w:rPr>
        <w:t>Civilian health care provides a practical precedent. NHS Employers (2022, 2025) supplies communication guides and personalized Total Reward Statements covering pay, allowances, and pensions. At United Lincolnshire Hospitals, individual retirement discussions accompanied a broader retention effort; 18 retiring staff returned in its first quarter (NHS Employers, 2020). That uncontrolled experience cannot isolate the effect of education. Randomized military and university experiments show that financial information can change retirement-plan participation, but do not establish a retention effect (Goldin et al., 2020; Duflo &amp; Saez, 2003).</w:t>
      </w:r>
    </w:p>
    <w:p>
      <w:pPr>
        <w:widowControl w:val="0"/>
        <w:spacing w:line="480" w:lineRule="auto" w:before="0" w:after="0"/>
      </w:pPr>
      <w:r>
        <w:rPr>
          <w:rFonts w:ascii="Times New Roman" w:hAnsi="Times New Roman"/>
          <w:b w:val="0"/>
          <w:color w:val="000000"/>
          <w:sz w:val="24"/>
        </w:rPr>
        <w:t>The model remains sensitive to assumptions. Increasing the pension discount rate from 3% to 5% raises the adjusted cost of staying from $58,419 to $234,384. Adding an illustrative 9.3-percentage-point pension state tax raises it to $126,609. The salary benchmark mixes employers and experience levels; promotion, deductions, retirement-account taxation, and separation risk are incompletely modeled. Individual estimates and sensitivity disclosure are essential.</w:t>
      </w:r>
    </w:p>
    <w:p>
      <w:r>
        <w:br w:type="page"/>
      </w:r>
    </w:p>
    <w:p>
      <w:pPr>
        <w:keepNext/>
        <w:widowControl w:val="0"/>
        <w:spacing w:line="480" w:lineRule="auto" w:before="0" w:after="0"/>
      </w:pPr>
      <w:r>
        <w:rPr>
          <w:rFonts w:ascii="Times New Roman" w:hAnsi="Times New Roman"/>
          <w:b/>
          <w:color w:val="000000"/>
          <w:sz w:val="24"/>
        </w:rPr>
        <w:t>Recommendation and decision rule</w:t>
      </w:r>
    </w:p>
    <w:p>
      <w:pPr>
        <w:widowControl w:val="0"/>
        <w:spacing w:line="480" w:lineRule="auto" w:before="0" w:after="0"/>
      </w:pPr>
      <w:r>
        <w:rPr>
          <w:rFonts w:ascii="Times New Roman" w:hAnsi="Times New Roman"/>
          <w:b w:val="0"/>
          <w:color w:val="000000"/>
          <w:sz w:val="24"/>
        </w:rPr>
        <w:t>The Navy should adapt the NHS statement and communication plan into physician-specific counseling for officers whose obligations end within 12 months. A personalized comparison would show current cash, taxes, special pays, pension eligibility, and civilian offer assumptions. A financial counselor would use the Navy continuation-pay checklist structure (Financial Readiness Program, n.d.) to review obligations and uncertainties, then document unanswered questions. Appendix F provides the adapted materials. Existing Navy career-counseling resources offer instructional examples, although their enlisted focus requires adaptation (MyNavy HR, n.d.).</w:t>
      </w:r>
    </w:p>
    <w:p>
      <w:pPr>
        <w:widowControl w:val="0"/>
        <w:spacing w:line="480" w:lineRule="auto" w:before="0" w:after="0"/>
      </w:pPr>
      <w:r>
        <w:rPr>
          <w:rFonts w:ascii="Times New Roman" w:hAnsi="Times New Roman"/>
          <w:b w:val="0"/>
          <w:color w:val="000000"/>
          <w:sz w:val="24"/>
        </w:rPr>
        <w:t>Randomize commands to enhanced counseling or usual information, balance specialty and service stage, and analyze physicians by assigned group with clustering accounted for. Measure knowledge before counseling and at six months, and actual retention at 24 months. Information can spread among colleagues, supporting command-level assignment. A prospective power calculation should determine the required commands and cohorts; initially test feasibility and comprehension if adequate recruitment is not possible.</w:t>
      </w:r>
    </w:p>
    <w:p>
      <w:pPr>
        <w:widowControl w:val="0"/>
        <w:spacing w:line="480" w:lineRule="auto" w:before="0" w:after="0"/>
      </w:pPr>
      <w:r>
        <w:rPr>
          <w:rFonts w:ascii="Times New Roman" w:hAnsi="Times New Roman"/>
          <w:b w:val="0"/>
          <w:color w:val="000000"/>
          <w:sz w:val="24"/>
        </w:rPr>
        <w:t>Before enrollment, approve proposed expansion criteria: a five-percentage-point retention improvement, a 95% confidence interval excluding zero, and cost per additional physician retained for 24 months below 25% of documented specialty replacement cost. These thresholds are policy judgments, not findings from the cited programs. Include counselor and administrative costs. If knowledge improves without retention, do not expand on awareness alone; use departure reasons to reconsider pay and working conditions. Report inconclusive results without claiming success.</w:t>
      </w:r>
    </w:p>
    <w:p>
      <w:pPr>
        <w:sectPr>
          <w:pgSz w:w="12240" w:h="15840"/>
          <w:pgMar w:top="1440" w:bottom="1440" w:left="1440" w:right="1440" w:header="720" w:footer="720"/>
        </w:sectPr>
      </w:pPr>
    </w:p>
    <w:p>
      <w:pPr>
        <w:keepNext/>
        <w:widowControl w:val="0"/>
        <w:spacing w:line="480" w:lineRule="auto" w:before="0" w:after="0"/>
      </w:pPr>
      <w:r>
        <w:rPr>
          <w:rFonts w:ascii="Times New Roman" w:hAnsi="Times New Roman"/>
          <w:b/>
          <w:color w:val="000000"/>
          <w:sz w:val="24"/>
        </w:rPr>
        <w:t>Figure 1  Break-even depends on what is counted</w:t>
      </w:r>
    </w:p>
    <w:p>
      <w:pPr>
        <w:spacing w:line="240" w:lineRule="auto"/>
      </w:pPr>
      <w:r>
        <w:drawing>
          <wp:inline xmlns:a="http://schemas.openxmlformats.org/drawingml/2006/main" xmlns:pic="http://schemas.openxmlformats.org/drawingml/2006/picture">
            <wp:extent cx="8229600" cy="3621024"/>
            <wp:docPr id="1" name="Picture 1"/>
            <wp:cNvGraphicFramePr>
              <a:graphicFrameLocks noChangeAspect="1"/>
            </wp:cNvGraphicFramePr>
            <a:graphic>
              <a:graphicData uri="http://schemas.openxmlformats.org/drawingml/2006/picture">
                <pic:pic>
                  <pic:nvPicPr>
                    <pic:cNvPr id="0" name="figure1-r9.png"/>
                    <pic:cNvPicPr/>
                  </pic:nvPicPr>
                  <pic:blipFill>
                    <a:blip r:embed="rId14"/>
                    <a:stretch>
                      <a:fillRect/>
                    </a:stretch>
                  </pic:blipFill>
                  <pic:spPr>
                    <a:xfrm>
                      <a:off x="0" y="0"/>
                      <a:ext cx="8229600" cy="3621024"/>
                    </a:xfrm>
                    <a:prstGeom prst="rect"/>
                  </pic:spPr>
                </pic:pic>
              </a:graphicData>
            </a:graphic>
          </wp:inline>
        </w:drawing>
      </w:r>
    </w:p>
    <w:p>
      <w:pPr>
        <w:widowControl w:val="0"/>
        <w:spacing w:line="480" w:lineRule="auto" w:before="0" w:after="0"/>
      </w:pPr>
      <w:r>
        <w:rPr>
          <w:rFonts w:ascii="Times New Roman" w:hAnsi="Times New Roman"/>
          <w:b w:val="0"/>
          <w:color w:val="000000"/>
          <w:sz w:val="24"/>
        </w:rPr>
        <w:t>The same O-4 longevity pay and $50,274 annual pension are used on both paths. Pension: 30 payments discounted at 3%; pre-retirement compensation: 5%. The adjusted line excludes retiree health, continuation pay, and later civilian pay differences. Crossings are interpolated, not causal retention estimates. Sources and calculations: Appendices A-D.</w:t>
      </w:r>
    </w:p>
    <w:p>
      <w:r>
        <w:br w:type="page"/>
      </w:r>
    </w:p>
    <w:p>
      <w:pPr>
        <w:keepNext/>
        <w:widowControl w:val="0"/>
        <w:spacing w:line="480" w:lineRule="auto" w:before="0" w:after="0"/>
      </w:pPr>
      <w:r>
        <w:rPr>
          <w:rFonts w:ascii="Times New Roman" w:hAnsi="Times New Roman"/>
          <w:b/>
          <w:color w:val="000000"/>
          <w:sz w:val="24"/>
        </w:rPr>
        <w:t>Figure 2  Taxes and benefits narrow the difference</w:t>
      </w:r>
    </w:p>
    <w:p>
      <w:pPr>
        <w:spacing w:line="240" w:lineRule="auto"/>
      </w:pPr>
      <w:r>
        <w:drawing>
          <wp:inline xmlns:a="http://schemas.openxmlformats.org/drawingml/2006/main" xmlns:pic="http://schemas.openxmlformats.org/drawingml/2006/picture">
            <wp:extent cx="8229600" cy="3685032"/>
            <wp:docPr id="2" name="Picture 2"/>
            <wp:cNvGraphicFramePr>
              <a:graphicFrameLocks noChangeAspect="1"/>
            </wp:cNvGraphicFramePr>
            <a:graphic>
              <a:graphicData uri="http://schemas.openxmlformats.org/drawingml/2006/picture">
                <pic:pic>
                  <pic:nvPicPr>
                    <pic:cNvPr id="0" name="figure2-r9.png"/>
                    <pic:cNvPicPr/>
                  </pic:nvPicPr>
                  <pic:blipFill>
                    <a:blip r:embed="rId15"/>
                    <a:stretch>
                      <a:fillRect/>
                    </a:stretch>
                  </pic:blipFill>
                  <pic:spPr>
                    <a:xfrm>
                      <a:off x="0" y="0"/>
                      <a:ext cx="8229600" cy="3685032"/>
                    </a:xfrm>
                    <a:prstGeom prst="rect"/>
                  </pic:spPr>
                </pic:pic>
              </a:graphicData>
            </a:graphic>
          </wp:inline>
        </w:drawing>
      </w:r>
    </w:p>
    <w:p>
      <w:pPr>
        <w:widowControl w:val="0"/>
        <w:spacing w:line="480" w:lineRule="auto" w:before="0" w:after="0"/>
      </w:pPr>
      <w:r>
        <w:rPr>
          <w:rFonts w:ascii="Times New Roman" w:hAnsi="Times New Roman"/>
          <w:b w:val="0"/>
          <w:color w:val="000000"/>
          <w:sz w:val="24"/>
        </w:rPr>
        <w:t>Each step adds to the preceding result. Positive values favor staying. Navy state tax means a qualifying domicile without state income tax during active duty. Later pay penalty means 5% lower civilian pay after military retirement, through age 65. Values are rounded; exact totals and assumptions appear in Appendix D.</w:t>
      </w:r>
    </w:p>
    <w:p>
      <w:pPr>
        <w:sectPr>
          <w:pgSz w:w="15840" w:h="12240" w:orient="landscape"/>
          <w:pgMar w:top="1440" w:bottom="1440" w:left="1440" w:right="1440" w:header="720" w:footer="720"/>
        </w:sectPr>
      </w:pPr>
    </w:p>
    <w:p>
      <w:pPr>
        <w:keepNext/>
        <w:widowControl w:val="0"/>
        <w:spacing w:line="480" w:lineRule="auto" w:before="0" w:after="0"/>
      </w:pPr>
      <w:r>
        <w:rPr>
          <w:rFonts w:ascii="Times New Roman" w:hAnsi="Times New Roman"/>
          <w:b/>
          <w:color w:val="000000"/>
          <w:sz w:val="24"/>
        </w:rPr>
        <w:t>References</w:t>
      </w:r>
    </w:p>
    <w:p>
      <w:pPr>
        <w:widowControl w:val="0"/>
        <w:spacing w:line="480" w:lineRule="auto" w:before="0" w:after="0"/>
        <w:ind w:left="720" w:hanging="720"/>
      </w:pPr>
      <w:r>
        <w:rPr>
          <w:rFonts w:ascii="Times New Roman" w:hAnsi="Times New Roman"/>
          <w:b w:val="0"/>
          <w:color w:val="000000"/>
          <w:sz w:val="24"/>
        </w:rPr>
        <w:t xml:space="preserve">California Employment Development Department. (2026). </w:t>
      </w:r>
      <w:r>
        <w:rPr>
          <w:rFonts w:ascii="Times New Roman" w:hAnsi="Times New Roman"/>
          <w:i/>
          <w:sz w:val="24"/>
        </w:rPr>
        <w:t>Contribution rates and benefit amounts.</w:t>
      </w:r>
      <w:r>
        <w:rPr>
          <w:rFonts w:ascii="Times New Roman" w:hAnsi="Times New Roman"/>
          <w:sz w:val="24"/>
        </w:rPr>
        <w:t xml:space="preserve"> https://edd.ca.gov/en/Disability/Contribution_Rates_and_Benefit_Amounts</w:t>
      </w:r>
    </w:p>
    <w:p>
      <w:pPr>
        <w:widowControl w:val="0"/>
        <w:spacing w:line="480" w:lineRule="auto" w:before="0" w:after="0"/>
        <w:ind w:left="720" w:hanging="720"/>
      </w:pPr>
      <w:r>
        <w:rPr>
          <w:rFonts w:ascii="Times New Roman" w:hAnsi="Times New Roman"/>
          <w:b w:val="0"/>
          <w:color w:val="000000"/>
          <w:sz w:val="24"/>
        </w:rPr>
        <w:t xml:space="preserve">California Franchise Tax Board. (2025a). </w:t>
      </w:r>
      <w:r>
        <w:rPr>
          <w:rFonts w:ascii="Times New Roman" w:hAnsi="Times New Roman"/>
          <w:i/>
          <w:sz w:val="24"/>
        </w:rPr>
        <w:t>2025 California tax rate schedules.</w:t>
      </w:r>
      <w:r>
        <w:rPr>
          <w:rFonts w:ascii="Times New Roman" w:hAnsi="Times New Roman"/>
          <w:sz w:val="24"/>
        </w:rPr>
        <w:t xml:space="preserve"> https://www.ftb.ca.gov/forms/2025/2025-540-tax-rate-schedules.pdf</w:t>
      </w:r>
    </w:p>
    <w:p>
      <w:pPr>
        <w:widowControl w:val="0"/>
        <w:spacing w:line="480" w:lineRule="auto" w:before="0" w:after="0"/>
        <w:ind w:left="720" w:hanging="720"/>
      </w:pPr>
      <w:r>
        <w:rPr>
          <w:rFonts w:ascii="Times New Roman" w:hAnsi="Times New Roman"/>
          <w:b w:val="0"/>
          <w:color w:val="000000"/>
          <w:sz w:val="24"/>
        </w:rPr>
        <w:t xml:space="preserve">California Franchise Tax Board. (2025b). </w:t>
      </w:r>
      <w:r>
        <w:rPr>
          <w:rFonts w:ascii="Times New Roman" w:hAnsi="Times New Roman"/>
          <w:i/>
          <w:sz w:val="24"/>
        </w:rPr>
        <w:t>2025 personal income tax booklet.</w:t>
      </w:r>
      <w:r>
        <w:rPr>
          <w:rFonts w:ascii="Times New Roman" w:hAnsi="Times New Roman"/>
          <w:sz w:val="24"/>
        </w:rPr>
        <w:t xml:space="preserve"> https://www.ftb.ca.gov/forms/2025/2025-540-booklet.html</w:t>
      </w:r>
    </w:p>
    <w:p>
      <w:pPr>
        <w:widowControl w:val="0"/>
        <w:spacing w:line="480" w:lineRule="auto" w:before="0" w:after="0"/>
        <w:ind w:left="720" w:hanging="720"/>
      </w:pPr>
      <w:r>
        <w:rPr>
          <w:rFonts w:ascii="Times New Roman" w:hAnsi="Times New Roman"/>
          <w:b w:val="0"/>
          <w:color w:val="000000"/>
          <w:sz w:val="24"/>
        </w:rPr>
        <w:t xml:space="preserve">Defense Finance and Accounting Service. (2026a). </w:t>
      </w:r>
      <w:r>
        <w:rPr>
          <w:rFonts w:ascii="Times New Roman" w:hAnsi="Times New Roman"/>
          <w:i/>
          <w:sz w:val="24"/>
        </w:rPr>
        <w:t>Basic pay for commissioned officers.</w:t>
      </w:r>
      <w:r>
        <w:rPr>
          <w:rFonts w:ascii="Times New Roman" w:hAnsi="Times New Roman"/>
          <w:sz w:val="24"/>
        </w:rPr>
        <w:t xml:space="preserve"> https://www.dfas.mil/MilitaryMembers/payentitlements/Pay-Tables/Basic-Pay/CO/</w:t>
      </w:r>
    </w:p>
    <w:p>
      <w:pPr>
        <w:widowControl w:val="0"/>
        <w:spacing w:line="480" w:lineRule="auto" w:before="0" w:after="0"/>
        <w:ind w:left="720" w:hanging="720"/>
      </w:pPr>
      <w:r>
        <w:rPr>
          <w:rFonts w:ascii="Times New Roman" w:hAnsi="Times New Roman"/>
          <w:b w:val="0"/>
          <w:color w:val="000000"/>
          <w:sz w:val="24"/>
        </w:rPr>
        <w:t xml:space="preserve">Defense Finance and Accounting Service. (2026b). </w:t>
      </w:r>
      <w:r>
        <w:rPr>
          <w:rFonts w:ascii="Times New Roman" w:hAnsi="Times New Roman"/>
          <w:i/>
          <w:sz w:val="24"/>
        </w:rPr>
        <w:t>Basic allowance for subsistence.</w:t>
      </w:r>
      <w:r>
        <w:rPr>
          <w:rFonts w:ascii="Times New Roman" w:hAnsi="Times New Roman"/>
          <w:sz w:val="24"/>
        </w:rPr>
        <w:t xml:space="preserve"> https://www.dfas.mil/militarymembers/payentitlements/Pay-Tables/BAS/</w:t>
      </w:r>
    </w:p>
    <w:p>
      <w:pPr>
        <w:widowControl w:val="0"/>
        <w:spacing w:line="480" w:lineRule="auto" w:before="0" w:after="0"/>
        <w:ind w:left="720" w:hanging="720"/>
      </w:pPr>
      <w:r>
        <w:rPr>
          <w:rFonts w:ascii="Times New Roman" w:hAnsi="Times New Roman"/>
          <w:b w:val="0"/>
          <w:color w:val="000000"/>
          <w:sz w:val="24"/>
        </w:rPr>
        <w:t xml:space="preserve">Defense Finance and Accounting Service. (2026c). </w:t>
      </w:r>
      <w:r>
        <w:rPr>
          <w:rFonts w:ascii="Times New Roman" w:hAnsi="Times New Roman"/>
          <w:i/>
          <w:sz w:val="24"/>
        </w:rPr>
        <w:t>Medical Corps special pay tables for fiscal year 2026.</w:t>
      </w:r>
      <w:r>
        <w:rPr>
          <w:rFonts w:ascii="Times New Roman" w:hAnsi="Times New Roman"/>
          <w:sz w:val="24"/>
        </w:rPr>
        <w:t xml:space="preserve"> https://www.dfas.mil/militarymembers/payentitlements/Pay-Tables/HPO4/</w:t>
      </w:r>
    </w:p>
    <w:p>
      <w:pPr>
        <w:widowControl w:val="0"/>
        <w:spacing w:line="480" w:lineRule="auto" w:before="0" w:after="0"/>
        <w:ind w:left="720" w:hanging="720"/>
      </w:pPr>
      <w:r>
        <w:rPr>
          <w:rFonts w:ascii="Times New Roman" w:hAnsi="Times New Roman"/>
          <w:b w:val="0"/>
          <w:color w:val="000000"/>
          <w:sz w:val="24"/>
        </w:rPr>
        <w:t xml:space="preserve">Defense Travel Management Office. (n.d.). </w:t>
      </w:r>
      <w:r>
        <w:rPr>
          <w:rFonts w:ascii="Times New Roman" w:hAnsi="Times New Roman"/>
          <w:i/>
          <w:sz w:val="24"/>
        </w:rPr>
        <w:t>BAH rate lookup.</w:t>
      </w:r>
      <w:r>
        <w:rPr>
          <w:rFonts w:ascii="Times New Roman" w:hAnsi="Times New Roman"/>
          <w:sz w:val="24"/>
        </w:rPr>
        <w:t xml:space="preserve"> https://www.travel.dod.mil/Allowances/Basic-Allowance-for-Housing/BAH-Rate-Lookup/</w:t>
      </w:r>
    </w:p>
    <w:p>
      <w:pPr>
        <w:widowControl w:val="0"/>
        <w:spacing w:line="480" w:lineRule="auto" w:before="0" w:after="0"/>
        <w:ind w:left="720" w:hanging="720"/>
      </w:pPr>
      <w:r>
        <w:rPr>
          <w:rFonts w:ascii="Times New Roman" w:hAnsi="Times New Roman"/>
          <w:b w:val="0"/>
          <w:color w:val="000000"/>
          <w:sz w:val="24"/>
        </w:rPr>
        <w:t xml:space="preserve">Department of Defense. (2017). </w:t>
      </w:r>
      <w:r>
        <w:rPr>
          <w:rFonts w:ascii="Times New Roman" w:hAnsi="Times New Roman"/>
          <w:i/>
          <w:sz w:val="24"/>
        </w:rPr>
        <w:t>Blended Retirement System defined contribution fact sheet.</w:t>
      </w:r>
      <w:r>
        <w:rPr>
          <w:rFonts w:ascii="Times New Roman" w:hAnsi="Times New Roman"/>
          <w:sz w:val="24"/>
        </w:rPr>
        <w:t xml:space="preserve"> https://militarypay.defense.gov/Portals/3/Documents/BlendedRetirementDocuments/BRSDefinedContributionFactSheet18Aug2017.pdf</w:t>
      </w:r>
    </w:p>
    <w:p>
      <w:pPr>
        <w:widowControl w:val="0"/>
        <w:spacing w:line="480" w:lineRule="auto" w:before="0" w:after="0"/>
        <w:ind w:left="720" w:hanging="720"/>
      </w:pPr>
      <w:r>
        <w:rPr>
          <w:rFonts w:ascii="Times New Roman" w:hAnsi="Times New Roman"/>
          <w:b w:val="0"/>
          <w:color w:val="000000"/>
          <w:sz w:val="24"/>
        </w:rPr>
        <w:t xml:space="preserve">Department of Defense. (n.d.). </w:t>
      </w:r>
      <w:r>
        <w:rPr>
          <w:rFonts w:ascii="Times New Roman" w:hAnsi="Times New Roman"/>
          <w:i/>
          <w:sz w:val="24"/>
        </w:rPr>
        <w:t>Military retirement.</w:t>
      </w:r>
      <w:r>
        <w:rPr>
          <w:rFonts w:ascii="Times New Roman" w:hAnsi="Times New Roman"/>
          <w:sz w:val="24"/>
        </w:rPr>
        <w:t xml:space="preserve"> https://militarypay.defense.gov/Pay/Retirement/</w:t>
      </w:r>
    </w:p>
    <w:p>
      <w:r>
        <w:br w:type="page"/>
      </w:r>
    </w:p>
    <w:p>
      <w:pPr>
        <w:keepNext/>
        <w:widowControl w:val="0"/>
        <w:spacing w:line="480" w:lineRule="auto" w:before="0" w:after="0"/>
      </w:pPr>
      <w:r>
        <w:rPr>
          <w:rFonts w:ascii="Times New Roman" w:hAnsi="Times New Roman"/>
          <w:b/>
          <w:color w:val="000000"/>
          <w:sz w:val="24"/>
        </w:rPr>
        <w:t>References continued</w:t>
      </w:r>
    </w:p>
    <w:p>
      <w:pPr>
        <w:widowControl w:val="0"/>
        <w:spacing w:line="480" w:lineRule="auto" w:before="0" w:after="0"/>
        <w:ind w:left="720" w:hanging="720"/>
      </w:pPr>
      <w:r>
        <w:rPr>
          <w:rFonts w:ascii="Times New Roman" w:hAnsi="Times New Roman"/>
          <w:b w:val="0"/>
          <w:color w:val="000000"/>
          <w:sz w:val="24"/>
        </w:rPr>
        <w:t xml:space="preserve">Duflo, E., &amp; Saez, E. (2003). </w:t>
      </w:r>
      <w:r>
        <w:rPr>
          <w:rFonts w:ascii="Times New Roman" w:hAnsi="Times New Roman"/>
          <w:i/>
          <w:sz w:val="24"/>
        </w:rPr>
        <w:t>The role of information and social interactions in retirement plan decisions: Evidence from a randomized experiment. The Quarterly Journal of Economics, 118(3), 815-842.</w:t>
      </w:r>
      <w:r>
        <w:rPr>
          <w:rFonts w:ascii="Times New Roman" w:hAnsi="Times New Roman"/>
          <w:sz w:val="24"/>
        </w:rPr>
        <w:t xml:space="preserve"> https://eml.berkeley.edu/~saez/tdafairQJE.pdf</w:t>
      </w:r>
    </w:p>
    <w:p>
      <w:pPr>
        <w:widowControl w:val="0"/>
        <w:spacing w:line="480" w:lineRule="auto" w:before="0" w:after="0"/>
        <w:ind w:left="720" w:hanging="720"/>
      </w:pPr>
      <w:r>
        <w:rPr>
          <w:rFonts w:ascii="Times New Roman" w:hAnsi="Times New Roman"/>
          <w:b w:val="0"/>
          <w:color w:val="000000"/>
          <w:sz w:val="24"/>
        </w:rPr>
        <w:t xml:space="preserve">Financial Readiness Program. (n.d.). </w:t>
      </w:r>
      <w:r>
        <w:rPr>
          <w:rFonts w:ascii="Times New Roman" w:hAnsi="Times New Roman"/>
          <w:i/>
          <w:sz w:val="24"/>
        </w:rPr>
        <w:t>Entitlement to continuation pay: Counselor checklist.</w:t>
      </w:r>
      <w:r>
        <w:rPr>
          <w:rFonts w:ascii="Times New Roman" w:hAnsi="Times New Roman"/>
          <w:sz w:val="24"/>
        </w:rPr>
        <w:t xml:space="preserve"> https://finred.usalearning.gov/assets/downloads/TC%206%20CP%20Counselor%20Checklist%201220E1R1.pdf</w:t>
      </w:r>
    </w:p>
    <w:p>
      <w:pPr>
        <w:widowControl w:val="0"/>
        <w:spacing w:line="480" w:lineRule="auto" w:before="0" w:after="0"/>
        <w:ind w:left="720" w:hanging="720"/>
      </w:pPr>
      <w:r>
        <w:rPr>
          <w:rFonts w:ascii="Times New Roman" w:hAnsi="Times New Roman"/>
          <w:b w:val="0"/>
          <w:color w:val="000000"/>
          <w:sz w:val="24"/>
        </w:rPr>
        <w:t xml:space="preserve">Frank, R. H., Bernanke, B. S., Antonovics, K., &amp; Heffetz, O. (2022). </w:t>
      </w:r>
      <w:r>
        <w:rPr>
          <w:rFonts w:ascii="Times New Roman" w:hAnsi="Times New Roman"/>
          <w:i/>
          <w:sz w:val="24"/>
        </w:rPr>
        <w:t>Principles of economics: A streamlined approach (4th ed.). McGraw Hill.</w:t>
      </w:r>
      <w:r>
        <w:rPr>
          <w:rFonts w:ascii="Times New Roman" w:hAnsi="Times New Roman"/>
          <w:sz w:val="24"/>
        </w:rPr>
      </w:r>
    </w:p>
    <w:p>
      <w:pPr>
        <w:widowControl w:val="0"/>
        <w:spacing w:line="480" w:lineRule="auto" w:before="0" w:after="0"/>
        <w:ind w:left="720" w:hanging="720"/>
      </w:pPr>
      <w:r>
        <w:rPr>
          <w:rFonts w:ascii="Times New Roman" w:hAnsi="Times New Roman"/>
          <w:b w:val="0"/>
          <w:color w:val="000000"/>
          <w:sz w:val="24"/>
        </w:rPr>
        <w:t xml:space="preserve">Goldin, J., Homonoff, T., Patterson, R. W., &amp; Skimmyhorn, W. L. (2020). </w:t>
      </w:r>
      <w:r>
        <w:rPr>
          <w:rFonts w:ascii="Times New Roman" w:hAnsi="Times New Roman"/>
          <w:i/>
          <w:sz w:val="24"/>
        </w:rPr>
        <w:t>How much to save? Decision costs and retirement plan participation (Working Paper No. 27575). National Bureau of Economic Research.</w:t>
      </w:r>
      <w:r>
        <w:rPr>
          <w:rFonts w:ascii="Times New Roman" w:hAnsi="Times New Roman"/>
          <w:sz w:val="24"/>
        </w:rPr>
        <w:t xml:space="preserve"> https://www.nber.org/papers/w27575</w:t>
      </w:r>
    </w:p>
    <w:p>
      <w:pPr>
        <w:widowControl w:val="0"/>
        <w:spacing w:line="480" w:lineRule="auto" w:before="0" w:after="0"/>
        <w:ind w:left="720" w:hanging="720"/>
      </w:pPr>
      <w:r>
        <w:rPr>
          <w:rFonts w:ascii="Times New Roman" w:hAnsi="Times New Roman"/>
          <w:b w:val="0"/>
          <w:color w:val="000000"/>
          <w:sz w:val="24"/>
        </w:rPr>
        <w:t xml:space="preserve">Internal Revenue Service. (2025a). </w:t>
      </w:r>
      <w:r>
        <w:rPr>
          <w:rFonts w:ascii="Times New Roman" w:hAnsi="Times New Roman"/>
          <w:i/>
          <w:sz w:val="24"/>
        </w:rPr>
        <w:t>Tax inflation adjustments for tax year 2026 (IR-2025-103).</w:t>
      </w:r>
      <w:r>
        <w:rPr>
          <w:rFonts w:ascii="Times New Roman" w:hAnsi="Times New Roman"/>
          <w:sz w:val="24"/>
        </w:rPr>
        <w:t xml:space="preserve"> https://www.irs.gov/newsroom/irs-releases-tax-inflation-adjustments-for-tax-year-2026-including-amendments-from-the-one-big-beautiful-bill</w:t>
      </w:r>
    </w:p>
    <w:p>
      <w:pPr>
        <w:widowControl w:val="0"/>
        <w:spacing w:line="480" w:lineRule="auto" w:before="0" w:after="0"/>
        <w:ind w:left="720" w:hanging="720"/>
      </w:pPr>
      <w:r>
        <w:rPr>
          <w:rFonts w:ascii="Times New Roman" w:hAnsi="Times New Roman"/>
          <w:b w:val="0"/>
          <w:color w:val="000000"/>
          <w:sz w:val="24"/>
        </w:rPr>
        <w:t xml:space="preserve">Internal Revenue Service. (2025b). </w:t>
      </w:r>
      <w:r>
        <w:rPr>
          <w:rFonts w:ascii="Times New Roman" w:hAnsi="Times New Roman"/>
          <w:i/>
          <w:sz w:val="24"/>
        </w:rPr>
        <w:t>COLA increases for dollar limitations on benefits and contributions.</w:t>
      </w:r>
      <w:r>
        <w:rPr>
          <w:rFonts w:ascii="Times New Roman" w:hAnsi="Times New Roman"/>
          <w:sz w:val="24"/>
        </w:rPr>
        <w:t xml:space="preserve"> https://www.irs.gov/retirement-plans/cola-increases-for-dollar-limitations-on-benefits-and-contributions</w:t>
      </w:r>
    </w:p>
    <w:p>
      <w:pPr>
        <w:widowControl w:val="0"/>
        <w:spacing w:line="480" w:lineRule="auto" w:before="0" w:after="0"/>
        <w:ind w:left="720" w:hanging="720"/>
      </w:pPr>
      <w:r>
        <w:rPr>
          <w:rFonts w:ascii="Times New Roman" w:hAnsi="Times New Roman"/>
          <w:b w:val="0"/>
          <w:color w:val="000000"/>
          <w:sz w:val="24"/>
        </w:rPr>
        <w:t xml:space="preserve">Internal Revenue Service. (2025c). </w:t>
      </w:r>
      <w:r>
        <w:rPr>
          <w:rFonts w:ascii="Times New Roman" w:hAnsi="Times New Roman"/>
          <w:i/>
          <w:sz w:val="24"/>
        </w:rPr>
        <w:t>Publication 3: Armed Forces tax guide.</w:t>
      </w:r>
      <w:r>
        <w:rPr>
          <w:rFonts w:ascii="Times New Roman" w:hAnsi="Times New Roman"/>
          <w:sz w:val="24"/>
        </w:rPr>
        <w:t xml:space="preserve"> https://www.irs.gov/publications/p3</w:t>
      </w:r>
    </w:p>
    <w:p>
      <w:r>
        <w:br w:type="page"/>
      </w:r>
    </w:p>
    <w:p>
      <w:pPr>
        <w:keepNext/>
        <w:widowControl w:val="0"/>
        <w:spacing w:line="480" w:lineRule="auto" w:before="0" w:after="0"/>
      </w:pPr>
      <w:r>
        <w:rPr>
          <w:rFonts w:ascii="Times New Roman" w:hAnsi="Times New Roman"/>
          <w:b/>
          <w:color w:val="000000"/>
          <w:sz w:val="24"/>
        </w:rPr>
        <w:t>References continued</w:t>
      </w:r>
    </w:p>
    <w:p>
      <w:pPr>
        <w:widowControl w:val="0"/>
        <w:spacing w:line="480" w:lineRule="auto" w:before="0" w:after="0"/>
        <w:ind w:left="720" w:hanging="720"/>
      </w:pPr>
      <w:r>
        <w:rPr>
          <w:rFonts w:ascii="Times New Roman" w:hAnsi="Times New Roman"/>
          <w:b w:val="0"/>
          <w:color w:val="000000"/>
          <w:sz w:val="24"/>
        </w:rPr>
        <w:t xml:space="preserve">KFF. (2025). </w:t>
      </w:r>
      <w:r>
        <w:rPr>
          <w:rFonts w:ascii="Times New Roman" w:hAnsi="Times New Roman"/>
          <w:i/>
          <w:sz w:val="24"/>
        </w:rPr>
        <w:t>Employer health benefits survey.</w:t>
      </w:r>
      <w:r>
        <w:rPr>
          <w:rFonts w:ascii="Times New Roman" w:hAnsi="Times New Roman"/>
          <w:sz w:val="24"/>
        </w:rPr>
        <w:t xml:space="preserve"> https://www.kff.org/health-costs/2025-employer-health-benefits-survey/</w:t>
      </w:r>
    </w:p>
    <w:p>
      <w:pPr>
        <w:widowControl w:val="0"/>
        <w:spacing w:line="480" w:lineRule="auto" w:before="0" w:after="0"/>
        <w:ind w:left="720" w:hanging="720"/>
      </w:pPr>
      <w:r>
        <w:rPr>
          <w:rFonts w:ascii="Times New Roman" w:hAnsi="Times New Roman"/>
          <w:b w:val="0"/>
          <w:color w:val="000000"/>
          <w:sz w:val="24"/>
        </w:rPr>
        <w:t xml:space="preserve">Marit Health. (2026, April 30). </w:t>
      </w:r>
      <w:r>
        <w:rPr>
          <w:rFonts w:ascii="Times New Roman" w:hAnsi="Times New Roman"/>
          <w:i/>
          <w:sz w:val="24"/>
        </w:rPr>
        <w:t>Internist salary in San Diego, California.</w:t>
      </w:r>
      <w:r>
        <w:rPr>
          <w:rFonts w:ascii="Times New Roman" w:hAnsi="Times New Roman"/>
          <w:sz w:val="24"/>
        </w:rPr>
        <w:t xml:space="preserve"> https://www.marithealth.com/o/-/internist/salary/san-diego-ca</w:t>
      </w:r>
    </w:p>
    <w:p>
      <w:pPr>
        <w:widowControl w:val="0"/>
        <w:spacing w:line="480" w:lineRule="auto" w:before="0" w:after="0"/>
        <w:ind w:left="720" w:hanging="720"/>
      </w:pPr>
      <w:r>
        <w:rPr>
          <w:rFonts w:ascii="Times New Roman" w:hAnsi="Times New Roman"/>
          <w:b w:val="0"/>
          <w:color w:val="000000"/>
          <w:sz w:val="24"/>
        </w:rPr>
        <w:t xml:space="preserve">MyNavy HR. (n.d.). </w:t>
      </w:r>
      <w:r>
        <w:rPr>
          <w:rFonts w:ascii="Times New Roman" w:hAnsi="Times New Roman"/>
          <w:i/>
          <w:sz w:val="24"/>
        </w:rPr>
        <w:t>Career counseling resources.</w:t>
      </w:r>
      <w:r>
        <w:rPr>
          <w:rFonts w:ascii="Times New Roman" w:hAnsi="Times New Roman"/>
          <w:sz w:val="24"/>
        </w:rPr>
        <w:t xml:space="preserve"> https://www.mynavyhr.navy.mil/Career-Management/Career-Counseling/Resources/</w:t>
      </w:r>
    </w:p>
    <w:p>
      <w:pPr>
        <w:widowControl w:val="0"/>
        <w:spacing w:line="480" w:lineRule="auto" w:before="0" w:after="0"/>
        <w:ind w:left="720" w:hanging="720"/>
      </w:pPr>
      <w:r>
        <w:rPr>
          <w:rFonts w:ascii="Times New Roman" w:hAnsi="Times New Roman"/>
          <w:b w:val="0"/>
          <w:color w:val="000000"/>
          <w:sz w:val="24"/>
        </w:rPr>
        <w:t xml:space="preserve">NHS Employers. (2020, August 11). </w:t>
      </w:r>
      <w:r>
        <w:rPr>
          <w:rFonts w:ascii="Times New Roman" w:hAnsi="Times New Roman"/>
          <w:i/>
          <w:sz w:val="24"/>
        </w:rPr>
        <w:t>Improving retention at all stages of nurses' careers: United Lincolnshire Hospitals NHS Trust.</w:t>
      </w:r>
      <w:r>
        <w:rPr>
          <w:rFonts w:ascii="Times New Roman" w:hAnsi="Times New Roman"/>
          <w:sz w:val="24"/>
        </w:rPr>
        <w:t xml:space="preserve"> https://www.nhsemployers.org/case-studies/improving-retention-all-stages-nurses-careers</w:t>
      </w:r>
    </w:p>
    <w:p>
      <w:pPr>
        <w:widowControl w:val="0"/>
        <w:spacing w:line="480" w:lineRule="auto" w:before="0" w:after="0"/>
        <w:ind w:left="720" w:hanging="720"/>
      </w:pPr>
      <w:r>
        <w:rPr>
          <w:rFonts w:ascii="Times New Roman" w:hAnsi="Times New Roman"/>
          <w:b w:val="0"/>
          <w:color w:val="000000"/>
          <w:sz w:val="24"/>
        </w:rPr>
        <w:t xml:space="preserve">NHS Employers. (2022, December 12). </w:t>
      </w:r>
      <w:r>
        <w:rPr>
          <w:rFonts w:ascii="Times New Roman" w:hAnsi="Times New Roman"/>
          <w:i/>
          <w:sz w:val="24"/>
        </w:rPr>
        <w:t>Reward communications guide.</w:t>
      </w:r>
      <w:r>
        <w:rPr>
          <w:rFonts w:ascii="Times New Roman" w:hAnsi="Times New Roman"/>
          <w:sz w:val="24"/>
        </w:rPr>
        <w:t xml:space="preserve"> https://www.nhsemployers.org/publications/reward-communications-guide</w:t>
      </w:r>
    </w:p>
    <w:p>
      <w:pPr>
        <w:widowControl w:val="0"/>
        <w:spacing w:line="480" w:lineRule="auto" w:before="0" w:after="0"/>
        <w:ind w:left="720" w:hanging="720"/>
      </w:pPr>
      <w:r>
        <w:rPr>
          <w:rFonts w:ascii="Times New Roman" w:hAnsi="Times New Roman"/>
          <w:b w:val="0"/>
          <w:color w:val="000000"/>
          <w:sz w:val="24"/>
        </w:rPr>
        <w:t xml:space="preserve">NHS Employers. (2025, September 29). </w:t>
      </w:r>
      <w:r>
        <w:rPr>
          <w:rFonts w:ascii="Times New Roman" w:hAnsi="Times New Roman"/>
          <w:i/>
          <w:sz w:val="24"/>
        </w:rPr>
        <w:t>Total Reward Statements.</w:t>
      </w:r>
      <w:r>
        <w:rPr>
          <w:rFonts w:ascii="Times New Roman" w:hAnsi="Times New Roman"/>
          <w:sz w:val="24"/>
        </w:rPr>
        <w:t xml:space="preserve"> https://www.nhsemployers.org/articles/total-reward-statements</w:t>
      </w:r>
    </w:p>
    <w:p>
      <w:pPr>
        <w:widowControl w:val="0"/>
        <w:spacing w:line="480" w:lineRule="auto" w:before="0" w:after="0"/>
        <w:ind w:left="720" w:hanging="720"/>
      </w:pPr>
      <w:r>
        <w:rPr>
          <w:rFonts w:ascii="Times New Roman" w:hAnsi="Times New Roman"/>
          <w:b w:val="0"/>
          <w:color w:val="000000"/>
          <w:sz w:val="24"/>
        </w:rPr>
        <w:t xml:space="preserve">Social Security Administration. (2026). </w:t>
      </w:r>
      <w:r>
        <w:rPr>
          <w:rFonts w:ascii="Times New Roman" w:hAnsi="Times New Roman"/>
          <w:i/>
          <w:sz w:val="24"/>
        </w:rPr>
        <w:t>Contribution and benefit base determination.</w:t>
      </w:r>
      <w:r>
        <w:rPr>
          <w:rFonts w:ascii="Times New Roman" w:hAnsi="Times New Roman"/>
          <w:sz w:val="24"/>
        </w:rPr>
        <w:t xml:space="preserve"> https://www.ssa.gov/oact/COLA/cbbdet.html</w:t>
      </w:r>
    </w:p>
    <w:p>
      <w:pPr>
        <w:widowControl w:val="0"/>
        <w:spacing w:line="480" w:lineRule="auto" w:before="0" w:after="0"/>
        <w:ind w:left="720" w:hanging="720"/>
      </w:pPr>
      <w:r>
        <w:rPr>
          <w:rFonts w:ascii="Times New Roman" w:hAnsi="Times New Roman"/>
          <w:b w:val="0"/>
          <w:color w:val="000000"/>
          <w:sz w:val="24"/>
        </w:rPr>
        <w:t xml:space="preserve">TRICARE. (2026). </w:t>
      </w:r>
      <w:r>
        <w:rPr>
          <w:rFonts w:ascii="Times New Roman" w:hAnsi="Times New Roman"/>
          <w:i/>
          <w:sz w:val="24"/>
        </w:rPr>
        <w:t>TRICARE 2026 costs and fees.</w:t>
      </w:r>
      <w:r>
        <w:rPr>
          <w:rFonts w:ascii="Times New Roman" w:hAnsi="Times New Roman"/>
          <w:sz w:val="24"/>
        </w:rPr>
        <w:t xml:space="preserve"> https://tricare.mil/-/media/Files/TRICARE/Publications/FactSheets/Costs_Fees.pdf</w:t>
      </w:r>
    </w:p>
    <w:p>
      <w:r>
        <w:br w:type="page"/>
      </w:r>
    </w:p>
    <w:p>
      <w:pPr>
        <w:keepNext/>
        <w:widowControl w:val="0"/>
        <w:spacing w:line="480" w:lineRule="auto" w:before="0" w:after="0"/>
      </w:pPr>
      <w:r>
        <w:rPr>
          <w:rFonts w:ascii="Times New Roman" w:hAnsi="Times New Roman"/>
          <w:b/>
          <w:color w:val="000000"/>
          <w:sz w:val="24"/>
        </w:rPr>
        <w:t>References continued</w:t>
      </w:r>
    </w:p>
    <w:p>
      <w:pPr>
        <w:widowControl w:val="0"/>
        <w:spacing w:line="480" w:lineRule="auto" w:before="0" w:after="0"/>
        <w:ind w:left="720" w:hanging="720"/>
      </w:pPr>
      <w:r>
        <w:rPr>
          <w:rFonts w:ascii="Times New Roman" w:hAnsi="Times New Roman"/>
          <w:b w:val="0"/>
          <w:color w:val="000000"/>
          <w:sz w:val="24"/>
        </w:rPr>
        <w:t xml:space="preserve">U.S. Government Accountability Office. (2020). </w:t>
      </w:r>
      <w:r>
        <w:rPr>
          <w:rFonts w:ascii="Times New Roman" w:hAnsi="Times New Roman"/>
          <w:i/>
          <w:sz w:val="24"/>
        </w:rPr>
        <w:t>Defense health care: DOD should collect and use key information to make decisions about incentives for physicians and dentists (GAO-20-165). Includes June 2026 recommendation updates.</w:t>
      </w:r>
      <w:r>
        <w:rPr>
          <w:rFonts w:ascii="Times New Roman" w:hAnsi="Times New Roman"/>
          <w:sz w:val="24"/>
        </w:rPr>
        <w:t xml:space="preserve"> https://www.gao.gov/products/gao-20-165</w:t>
      </w:r>
    </w:p>
    <w:p>
      <w:pPr>
        <w:widowControl w:val="0"/>
        <w:spacing w:line="480" w:lineRule="auto" w:before="0" w:after="0"/>
        <w:ind w:left="720" w:hanging="720"/>
      </w:pPr>
      <w:r>
        <w:rPr>
          <w:rFonts w:ascii="Times New Roman" w:hAnsi="Times New Roman"/>
          <w:b w:val="0"/>
          <w:color w:val="000000"/>
          <w:sz w:val="24"/>
        </w:rPr>
        <w:t xml:space="preserve">Vanguard. (2025). </w:t>
      </w:r>
      <w:r>
        <w:rPr>
          <w:rFonts w:ascii="Times New Roman" w:hAnsi="Times New Roman"/>
          <w:i/>
          <w:sz w:val="24"/>
        </w:rPr>
        <w:t>How America saves 2025.</w:t>
      </w:r>
      <w:r>
        <w:rPr>
          <w:rFonts w:ascii="Times New Roman" w:hAnsi="Times New Roman"/>
          <w:sz w:val="24"/>
        </w:rPr>
        <w:t xml:space="preserve"> https://corporate.vanguard.com/content/dam/corp/research/pdf/how_america_saves_report_2025.pdf</w:t>
      </w:r>
    </w:p>
    <w:p>
      <w:pPr>
        <w:widowControl w:val="0"/>
        <w:spacing w:line="480" w:lineRule="auto" w:before="0" w:after="0"/>
        <w:ind w:left="720" w:hanging="720"/>
      </w:pPr>
      <w:r>
        <w:rPr>
          <w:rFonts w:ascii="Times New Roman" w:hAnsi="Times New Roman"/>
          <w:b w:val="0"/>
          <w:color w:val="000000"/>
          <w:sz w:val="24"/>
        </w:rPr>
        <w:t xml:space="preserve">The White Coat Investor. (n.d.). </w:t>
      </w:r>
      <w:r>
        <w:rPr>
          <w:rFonts w:ascii="Times New Roman" w:hAnsi="Times New Roman"/>
          <w:i/>
          <w:sz w:val="24"/>
        </w:rPr>
        <w:t>How to buy disability insurance.</w:t>
      </w:r>
      <w:r>
        <w:rPr>
          <w:rFonts w:ascii="Times New Roman" w:hAnsi="Times New Roman"/>
          <w:sz w:val="24"/>
        </w:rPr>
        <w:t xml:space="preserve"> https://www.whitecoatinvestor.com/how-to-buy-disability-insurance/</w:t>
      </w:r>
    </w:p>
    <w:p>
      <w:r>
        <w:br w:type="page"/>
      </w:r>
    </w:p>
    <w:p>
      <w:pPr>
        <w:keepNext/>
        <w:widowControl w:val="0"/>
        <w:spacing w:line="480" w:lineRule="auto" w:before="0" w:after="0"/>
      </w:pPr>
      <w:r>
        <w:rPr>
          <w:rFonts w:ascii="Times New Roman" w:hAnsi="Times New Roman"/>
          <w:b/>
          <w:color w:val="000000"/>
          <w:sz w:val="24"/>
        </w:rPr>
        <w:t>Appendix A  Compensation and assumptions</w:t>
      </w:r>
    </w:p>
    <w:p>
      <w:pPr>
        <w:widowControl w:val="0"/>
        <w:spacing w:line="480" w:lineRule="auto" w:before="0" w:after="0"/>
      </w:pPr>
      <w:r>
        <w:rPr>
          <w:rFonts w:ascii="Times New Roman" w:hAnsi="Times New Roman"/>
          <w:b w:val="0"/>
          <w:color w:val="000000"/>
          <w:sz w:val="24"/>
        </w:rPr>
        <w:t>Table A1. O-4 annual cash compensation by completed service years. BAH is $5,082 per month for ZIP 92134 with dependents. BAS is $328.48 per month. Incentive pay, board certification pay, and retention bonus total $99,000 per year.</w:t>
      </w:r>
    </w:p>
    <w:tbl>
      <w:tblPr>
        <w:tblW w:type="auto" w:w="0"/>
        <w:tblLayout w:type="fixed"/>
        <w:tblLook w:firstColumn="1" w:firstRow="1" w:lastColumn="0" w:lastRow="0" w:noHBand="0" w:noVBand="1" w:val="04A0"/>
      </w:tblPr>
      <w:tblGrid>
        <w:gridCol w:w="3120"/>
        <w:gridCol w:w="3120"/>
        <w:gridCol w:w="3120"/>
      </w:tblGrid>
      <w:tr>
        <w:trPr>
          <w:tblHeader/>
        </w:trPr>
        <w:tc>
          <w:tcPr>
            <w:tcW w:type="dxa" w:w="312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Completed years</w:t>
            </w:r>
          </w:p>
        </w:tc>
        <w:tc>
          <w:tcPr>
            <w:tcW w:type="dxa" w:w="312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Basic pay</w:t>
            </w:r>
          </w:p>
        </w:tc>
        <w:tc>
          <w:tcPr>
            <w:tcW w:type="dxa" w:w="312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Navy gross cash</w:t>
            </w:r>
          </w:p>
        </w:tc>
      </w:tr>
      <w:tr>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10-11</w:t>
            </w:r>
          </w:p>
        </w:tc>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$113,040</w:t>
            </w:r>
          </w:p>
        </w:tc>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$276,966</w:t>
            </w:r>
          </w:p>
        </w:tc>
      </w:tr>
      <w:tr>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12-13</w:t>
            </w:r>
          </w:p>
        </w:tc>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$118,660</w:t>
            </w:r>
          </w:p>
        </w:tc>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$282,585</w:t>
            </w:r>
          </w:p>
        </w:tc>
      </w:tr>
      <w:tr>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14-15</w:t>
            </w:r>
          </w:p>
        </w:tc>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$122,573</w:t>
            </w:r>
          </w:p>
        </w:tc>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$286,499</w:t>
            </w:r>
          </w:p>
        </w:tc>
      </w:tr>
      <w:tr>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16-17</w:t>
            </w:r>
          </w:p>
        </w:tc>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$124,819</w:t>
            </w:r>
          </w:p>
        </w:tc>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$288,745</w:t>
            </w:r>
          </w:p>
        </w:tc>
      </w:tr>
      <w:tr>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18-19</w:t>
            </w:r>
          </w:p>
        </w:tc>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$126,119</w:t>
            </w:r>
          </w:p>
        </w:tc>
        <w:tc>
          <w:tcPr>
            <w:tcW w:type="dxa" w:w="312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$290,045</w:t>
            </w:r>
          </w:p>
        </w:tc>
      </w:tr>
    </w:tbl>
    <w:p>
      <w:pPr>
        <w:widowControl w:val="0"/>
        <w:spacing w:line="480" w:lineRule="auto" w:before="0" w:after="0"/>
      </w:pPr>
      <w:r>
        <w:rPr>
          <w:rFonts w:ascii="Times New Roman" w:hAnsi="Times New Roman"/>
          <w:b w:val="0"/>
          <w:color w:val="000000"/>
          <w:sz w:val="24"/>
        </w:rPr>
        <w:t>Sources: DFAS (2026a-c), DTMO (n.d.). Pay rates are held in 2026 dollars. The $48,000 annual retention bonus assumes continued eligibility and agreements covering the full comparison horizon; it is not guaranteed. No promotion is assumed.</w:t>
      </w:r>
    </w:p>
    <w:p>
      <w:pPr>
        <w:widowControl w:val="0"/>
        <w:spacing w:line="480" w:lineRule="auto" w:before="0" w:after="0"/>
      </w:pPr>
      <w:r>
        <w:rPr>
          <w:rFonts w:ascii="Times New Roman" w:hAnsi="Times New Roman"/>
          <w:b w:val="0"/>
          <w:color w:val="000000"/>
          <w:sz w:val="24"/>
        </w:rPr>
        <w:t>Civilian employee cash pay is $459,057 each year (Marit Health, 2026). Current age is 37; retirement occurs at 47; work ends at 65. Married filing jointly, one income, no child credits. No VA benefits, survivor coverage, pay growth, transition cost, or first-year pay reduction is included.</w:t>
      </w:r>
    </w:p>
    <w:p>
      <w:r>
        <w:br w:type="page"/>
      </w:r>
    </w:p>
    <w:p>
      <w:pPr>
        <w:keepNext/>
        <w:widowControl w:val="0"/>
        <w:spacing w:line="480" w:lineRule="auto" w:before="0" w:after="0"/>
      </w:pPr>
      <w:r>
        <w:rPr>
          <w:rFonts w:ascii="Times New Roman" w:hAnsi="Times New Roman"/>
          <w:b/>
          <w:color w:val="000000"/>
          <w:sz w:val="24"/>
        </w:rPr>
        <w:t>Appendix A  Benefit assumptions continued</w:t>
      </w:r>
    </w:p>
    <w:tbl>
      <w:tblPr>
        <w:tblW w:type="auto" w:w="0"/>
        <w:tblLayout w:type="fixed"/>
        <w:tblLook w:firstColumn="1" w:firstRow="1" w:lastColumn="0" w:lastRow="0" w:noHBand="0" w:noVBand="1" w:val="04A0"/>
      </w:tblPr>
      <w:tblGrid>
        <w:gridCol w:w="3400"/>
        <w:gridCol w:w="5960"/>
      </w:tblGrid>
      <w:tr>
        <w:trPr>
          <w:tblHeader/>
        </w:trPr>
        <w:tc>
          <w:tcPr>
            <w:tcW w:type="dxa" w:w="340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Item</w:t>
            </w:r>
          </w:p>
        </w:tc>
        <w:tc>
          <w:tcPr>
            <w:tcW w:type="dxa" w:w="596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Annual amount or assumption</w:t>
            </w:r>
          </w:p>
        </w:tc>
      </w:tr>
      <w:tr>
        <w:tc>
          <w:tcPr>
            <w:tcW w:type="dxa" w:w="34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BRS service contribution</w:t>
            </w:r>
          </w:p>
        </w:tc>
        <w:tc>
          <w:tcPr>
            <w:tcW w:type="dxa" w:w="59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 of basic pay; full eligibility and employee contributions assumed</w:t>
            </w:r>
          </w:p>
        </w:tc>
      </w:tr>
      <w:tr>
        <w:tc>
          <w:tcPr>
            <w:tcW w:type="dxa" w:w="34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Civilian employer match</w:t>
            </w:r>
          </w:p>
        </w:tc>
        <w:tc>
          <w:tcPr>
            <w:tcW w:type="dxa" w:w="59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$16,560 = 4.6% of min($459,057, $360,000)</w:t>
            </w:r>
          </w:p>
        </w:tc>
      </w:tr>
      <w:tr>
        <w:tc>
          <w:tcPr>
            <w:tcW w:type="dxa" w:w="34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Civilian worker health premium</w:t>
            </w:r>
          </w:p>
        </w:tc>
        <w:tc>
          <w:tcPr>
            <w:tcW w:type="dxa" w:w="59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$6,850 family premium share</w:t>
            </w:r>
          </w:p>
        </w:tc>
      </w:tr>
      <w:tr>
        <w:tc>
          <w:tcPr>
            <w:tcW w:type="dxa" w:w="34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Private disability insurance</w:t>
            </w:r>
          </w:p>
        </w:tc>
        <w:tc>
          <w:tcPr>
            <w:tcW w:type="dxa" w:w="59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$13,771.71 = 3% of civilian pay</w:t>
            </w:r>
          </w:p>
        </w:tc>
      </w:tr>
      <w:tr>
        <w:tc>
          <w:tcPr>
            <w:tcW w:type="dxa" w:w="34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Retiree health sensitivity</w:t>
            </w:r>
          </w:p>
        </w:tc>
        <w:tc>
          <w:tcPr>
            <w:tcW w:type="dxa" w:w="59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$6,085 = $6,850 avoided premium less $765 fee</w:t>
            </w:r>
          </w:p>
        </w:tc>
      </w:tr>
      <w:tr>
        <w:tc>
          <w:tcPr>
            <w:tcW w:type="dxa" w:w="34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Continuation pay sensitivity</w:t>
            </w:r>
          </w:p>
        </w:tc>
        <w:tc>
          <w:tcPr>
            <w:tcW w:type="dxa" w:w="59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$23,550 in comparison year 2; 2.5 months of basic pay</w:t>
            </w:r>
          </w:p>
        </w:tc>
      </w:tr>
    </w:tbl>
    <w:p>
      <w:pPr>
        <w:widowControl w:val="0"/>
        <w:spacing w:line="480" w:lineRule="auto" w:before="0" w:after="0"/>
      </w:pPr>
      <w:r>
        <w:rPr>
          <w:rFonts w:ascii="Times New Roman" w:hAnsi="Times New Roman"/>
          <w:b w:val="0"/>
          <w:color w:val="000000"/>
          <w:sz w:val="24"/>
        </w:rPr>
        <w:t>Sources: DoD (2017), Vanguard (2025), IRS (2025b), KFF (2025), TRICARE (2026), and The White Coat Investor (n.d.). Continuation pay is a conditional scenario assumption; eligibility, future rates, and obligation terms must be confirmed.</w:t>
      </w:r>
    </w:p>
    <w:p>
      <w:pPr>
        <w:widowControl w:val="0"/>
        <w:spacing w:line="480" w:lineRule="auto" w:before="0" w:after="0"/>
      </w:pPr>
      <w:r>
        <w:rPr>
          <w:rFonts w:ascii="Times New Roman" w:hAnsi="Times New Roman"/>
          <w:b w:val="0"/>
          <w:color w:val="000000"/>
          <w:sz w:val="24"/>
        </w:rPr>
        <w:t>Employer contributions are compensation value, not current cash. Their future withdrawal taxes and employee contribution deductions are excluded. Insurance at 3% is an illustrative quote proxy. Health savings ignore deductibles, copays, and differences in access. These assumptions require individual verification.</w:t>
      </w:r>
    </w:p>
    <w:p>
      <w:r>
        <w:br w:type="page"/>
      </w:r>
    </w:p>
    <w:p>
      <w:pPr>
        <w:keepNext/>
        <w:widowControl w:val="0"/>
        <w:spacing w:line="480" w:lineRule="auto" w:before="0" w:after="0"/>
      </w:pPr>
      <w:r>
        <w:rPr>
          <w:rFonts w:ascii="Times New Roman" w:hAnsi="Times New Roman"/>
          <w:b/>
          <w:color w:val="000000"/>
          <w:sz w:val="24"/>
        </w:rPr>
        <w:t>Appendix B  Annual adjusted comparison</w:t>
      </w:r>
    </w:p>
    <w:p>
      <w:pPr>
        <w:widowControl w:val="0"/>
        <w:spacing w:line="480" w:lineRule="auto" w:before="0" w:after="0"/>
      </w:pPr>
      <w:r>
        <w:rPr>
          <w:rFonts w:ascii="Times New Roman" w:hAnsi="Times New Roman"/>
          <w:b w:val="0"/>
          <w:color w:val="000000"/>
          <w:sz w:val="24"/>
        </w:rPr>
        <w:t>Table B1. Dollars rounded for display; calculations use unrounded values. Civilian adjusted compensation is $305,005.33 every year. Navy tax includes federal, California, and employee payroll taxes. Navy value equals gross cash minus taxes plus the BRS service contribution.</w:t>
      </w:r>
    </w:p>
    <w:tbl>
      <w:tblPr>
        <w:tblW w:type="auto" w:w="0"/>
        <w:tblLayout w:type="fixed"/>
        <w:tblLook w:firstColumn="1" w:firstRow="1" w:lastColumn="0" w:lastRow="0" w:noHBand="0" w:noVBand="1" w:val="04A0"/>
      </w:tblPr>
      <w:tblGrid>
        <w:gridCol w:w="1040"/>
        <w:gridCol w:w="2080"/>
        <w:gridCol w:w="2080"/>
        <w:gridCol w:w="2080"/>
        <w:gridCol w:w="2080"/>
      </w:tblGrid>
      <w:tr>
        <w:trPr>
          <w:tblHeader/>
        </w:trPr>
        <w:tc>
          <w:tcPr>
            <w:tcW w:type="dxa" w:w="104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Year</w:t>
            </w:r>
          </w:p>
        </w:tc>
        <w:tc>
          <w:tcPr>
            <w:tcW w:type="dxa" w:w="208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Navy gross</w:t>
            </w:r>
          </w:p>
        </w:tc>
        <w:tc>
          <w:tcPr>
            <w:tcW w:type="dxa" w:w="208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Navy tax</w:t>
            </w:r>
          </w:p>
        </w:tc>
        <w:tc>
          <w:tcPr>
            <w:tcW w:type="dxa" w:w="208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Navy value</w:t>
            </w:r>
          </w:p>
        </w:tc>
        <w:tc>
          <w:tcPr>
            <w:tcW w:type="dxa" w:w="208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Civilian gap</w:t>
            </w:r>
          </w:p>
        </w:tc>
      </w:tr>
      <w:tr>
        <w:tc>
          <w:tcPr>
            <w:tcW w:type="dxa" w:w="104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276,966</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55,069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227,549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77,457</w:t>
            </w:r>
          </w:p>
        </w:tc>
      </w:tr>
      <w:tr>
        <w:tc>
          <w:tcPr>
            <w:tcW w:type="dxa" w:w="104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276,966</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55,069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227,549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77,457</w:t>
            </w:r>
          </w:p>
        </w:tc>
      </w:tr>
      <w:tr>
        <w:tc>
          <w:tcPr>
            <w:tcW w:type="dxa" w:w="104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3</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282,585</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56,909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231,609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73,396</w:t>
            </w:r>
          </w:p>
        </w:tc>
      </w:tr>
      <w:tr>
        <w:tc>
          <w:tcPr>
            <w:tcW w:type="dxa" w:w="104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4</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282,585</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56,909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231,609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73,396</w:t>
            </w:r>
          </w:p>
        </w:tc>
      </w:tr>
      <w:tr>
        <w:tc>
          <w:tcPr>
            <w:tcW w:type="dxa" w:w="104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286,499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58,191</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234,436</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70,569</w:t>
            </w:r>
          </w:p>
        </w:tc>
      </w:tr>
      <w:tr>
        <w:tc>
          <w:tcPr>
            <w:tcW w:type="dxa" w:w="104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6</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286,499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58,191</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234,436</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70,569</w:t>
            </w:r>
          </w:p>
        </w:tc>
      </w:tr>
      <w:tr>
        <w:tc>
          <w:tcPr>
            <w:tcW w:type="dxa" w:w="104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7</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288,745</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58,927</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236,059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68,946</w:t>
            </w:r>
          </w:p>
        </w:tc>
      </w:tr>
      <w:tr>
        <w:tc>
          <w:tcPr>
            <w:tcW w:type="dxa" w:w="104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8</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288,745</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58,927</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236,059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68,946</w:t>
            </w:r>
          </w:p>
        </w:tc>
      </w:tr>
      <w:tr>
        <w:tc>
          <w:tcPr>
            <w:tcW w:type="dxa" w:w="104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9</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290,045</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59,352</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236,998</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68,007</w:t>
            </w:r>
          </w:p>
        </w:tc>
      </w:tr>
      <w:tr>
        <w:tc>
          <w:tcPr>
            <w:tcW w:type="dxa" w:w="104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10</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290,045</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59,352</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236,998</w:t>
            </w:r>
          </w:p>
        </w:tc>
        <w:tc>
          <w:tcPr>
            <w:tcW w:type="dxa" w:w="20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68,007</w:t>
            </w:r>
          </w:p>
        </w:tc>
      </w:tr>
    </w:tbl>
    <w:p>
      <w:pPr>
        <w:widowControl w:val="0"/>
        <w:spacing w:line="480" w:lineRule="auto" w:before="0" w:after="0"/>
      </w:pPr>
      <w:r>
        <w:rPr>
          <w:rFonts w:ascii="Times New Roman" w:hAnsi="Times New Roman"/>
          <w:b w:val="0"/>
          <w:color w:val="000000"/>
          <w:sz w:val="24"/>
        </w:rPr>
        <w:t>The present value of the annual civilian gaps at 5% is $557,014.21. The corresponding gross gaps total $1,349,196.04 in present value. For the first four years, the gross-gap present value is $636,208.84. All payments occur at year end. Tax and civilian benefit components are specified in Appendix C.</w:t>
      </w:r>
    </w:p>
    <w:p>
      <w:r>
        <w:br w:type="page"/>
      </w:r>
    </w:p>
    <w:p>
      <w:pPr>
        <w:keepNext/>
        <w:widowControl w:val="0"/>
        <w:spacing w:line="480" w:lineRule="auto" w:before="0" w:after="0"/>
      </w:pPr>
      <w:r>
        <w:rPr>
          <w:rFonts w:ascii="Times New Roman" w:hAnsi="Times New Roman"/>
          <w:b/>
          <w:color w:val="000000"/>
          <w:sz w:val="24"/>
        </w:rPr>
        <w:t>Appendix C  Tax calculation inputs</w:t>
      </w:r>
    </w:p>
    <w:p>
      <w:pPr>
        <w:widowControl w:val="0"/>
        <w:spacing w:line="480" w:lineRule="auto" w:before="0" w:after="0"/>
      </w:pPr>
      <w:r>
        <w:rPr>
          <w:rFonts w:ascii="Times New Roman" w:hAnsi="Times New Roman"/>
          <w:b w:val="0"/>
          <w:color w:val="000000"/>
          <w:sz w:val="24"/>
        </w:rPr>
        <w:t>Federal income tax uses 2026 married-filing-jointly brackets and a $32,200 standard deduction (IRS, 2025a). California uses the published 2025 Schedule Y and $11,080 standard deduction as a proxy held constant; these are not verified 2026 California brackets (FTB, 2025a, 2025b).</w:t>
      </w:r>
    </w:p>
    <w:tbl>
      <w:tblPr>
        <w:tblW w:type="auto" w:w="0"/>
        <w:tblLayout w:type="fixed"/>
        <w:tblLook w:firstColumn="1" w:firstRow="1" w:lastColumn="0" w:lastRow="0" w:noHBand="0" w:noVBand="1" w:val="04A0"/>
      </w:tblPr>
      <w:tblGrid>
        <w:gridCol w:w="3360"/>
        <w:gridCol w:w="3000"/>
        <w:gridCol w:w="3000"/>
      </w:tblGrid>
      <w:tr>
        <w:trPr>
          <w:tblHeader/>
        </w:trPr>
        <w:tc>
          <w:tcPr>
            <w:tcW w:type="dxa" w:w="336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Marginal rate</w:t>
            </w:r>
          </w:p>
        </w:tc>
        <w:tc>
          <w:tcPr>
            <w:tcW w:type="dxa" w:w="300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Federal lower bound</w:t>
            </w:r>
          </w:p>
        </w:tc>
        <w:tc>
          <w:tcPr>
            <w:tcW w:type="dxa" w:w="300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California lower bound</w:t>
            </w:r>
          </w:p>
        </w:tc>
      </w:tr>
      <w:tr>
        <w:tc>
          <w:tcPr>
            <w:tcW w:type="dxa" w:w="33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10% federal / 1% CA</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$0</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$0</w:t>
            </w:r>
          </w:p>
        </w:tc>
      </w:tr>
      <w:tr>
        <w:tc>
          <w:tcPr>
            <w:tcW w:type="dxa" w:w="33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12% / 2%</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$24,800</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$22,158</w:t>
            </w:r>
          </w:p>
        </w:tc>
      </w:tr>
      <w:tr>
        <w:tc>
          <w:tcPr>
            <w:tcW w:type="dxa" w:w="33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22% / 4%</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$100,800</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$52,528</w:t>
            </w:r>
          </w:p>
        </w:tc>
      </w:tr>
      <w:tr>
        <w:tc>
          <w:tcPr>
            <w:tcW w:type="dxa" w:w="33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24% / 6%</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$211,400</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$82,904</w:t>
            </w:r>
          </w:p>
        </w:tc>
      </w:tr>
      <w:tr>
        <w:tc>
          <w:tcPr>
            <w:tcW w:type="dxa" w:w="33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32% / 8%</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$403,550</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$115,084</w:t>
            </w:r>
          </w:p>
        </w:tc>
      </w:tr>
      <w:tr>
        <w:tc>
          <w:tcPr>
            <w:tcW w:type="dxa" w:w="33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35% / 9.3%</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$512,450</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$145,448</w:t>
            </w:r>
          </w:p>
        </w:tc>
      </w:tr>
      <w:tr>
        <w:tc>
          <w:tcPr>
            <w:tcW w:type="dxa" w:w="33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37% federal</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$768,700</w:t>
            </w:r>
          </w:p>
        </w:tc>
        <w:tc>
          <w:tcPr>
            <w:tcW w:type="dxa" w:w="30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Not used</w:t>
            </w:r>
          </w:p>
        </w:tc>
      </w:tr>
    </w:tbl>
    <w:p>
      <w:pPr>
        <w:widowControl w:val="0"/>
        <w:spacing w:line="480" w:lineRule="auto" w:before="0" w:after="0"/>
      </w:pPr>
      <w:r>
        <w:rPr>
          <w:rFonts w:ascii="Times New Roman" w:hAnsi="Times New Roman"/>
          <w:b w:val="0"/>
          <w:color w:val="000000"/>
          <w:sz w:val="24"/>
        </w:rPr>
        <w:t>Apply each marginal rate only to taxable income within its bracket. California income remains below the next $742,958 threshold in all reported cases. State exemption credits, itemization, SALT interactions, and alternative minimum tax are excluded. The model is an illustration, not a tax return.</w:t>
      </w:r>
    </w:p>
    <w:p>
      <w:r>
        <w:br w:type="page"/>
      </w:r>
    </w:p>
    <w:p>
      <w:pPr>
        <w:keepNext/>
        <w:widowControl w:val="0"/>
        <w:spacing w:line="480" w:lineRule="auto" w:before="0" w:after="0"/>
      </w:pPr>
      <w:r>
        <w:rPr>
          <w:rFonts w:ascii="Times New Roman" w:hAnsi="Times New Roman"/>
          <w:b/>
          <w:color w:val="000000"/>
          <w:sz w:val="24"/>
        </w:rPr>
        <w:t>Appendix C  Worked example and payroll taxes</w:t>
      </w:r>
    </w:p>
    <w:p>
      <w:pPr>
        <w:widowControl w:val="0"/>
        <w:spacing w:line="480" w:lineRule="auto" w:before="0" w:after="0"/>
      </w:pPr>
      <w:r>
        <w:rPr>
          <w:rFonts w:ascii="Times New Roman" w:hAnsi="Times New Roman"/>
          <w:b w:val="0"/>
          <w:color w:val="000000"/>
          <w:sz w:val="24"/>
        </w:rPr>
        <w:t>Year 1 Navy taxable wages are $276,965.76 minus $64,925.76 in BAH and BAS, or $212,040 (IRS, 2025c). Civilian wages are $459,057. Taxable income for each tax is wages minus that tax system's standard deduction.</w:t>
      </w:r>
    </w:p>
    <w:tbl>
      <w:tblPr>
        <w:tblW w:type="auto" w:w="0"/>
        <w:tblLayout w:type="fixed"/>
        <w:tblLook w:firstColumn="1" w:firstRow="1" w:lastColumn="0" w:lastRow="0" w:noHBand="0" w:noVBand="1" w:val="04A0"/>
      </w:tblPr>
      <w:tblGrid>
        <w:gridCol w:w="4400"/>
        <w:gridCol w:w="2480"/>
        <w:gridCol w:w="2480"/>
      </w:tblGrid>
      <w:tr>
        <w:trPr>
          <w:tblHeader/>
        </w:trPr>
        <w:tc>
          <w:tcPr>
            <w:tcW w:type="dxa" w:w="440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Year 1 component</w:t>
            </w:r>
          </w:p>
        </w:tc>
        <w:tc>
          <w:tcPr>
            <w:tcW w:type="dxa" w:w="248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Navy</w:t>
            </w:r>
          </w:p>
        </w:tc>
        <w:tc>
          <w:tcPr>
            <w:tcW w:type="dxa" w:w="248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Civilian</w:t>
            </w:r>
          </w:p>
        </w:tc>
      </w:tr>
      <w:tr>
        <w:tc>
          <w:tcPr>
            <w:tcW w:type="dxa" w:w="44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Federal income tax</w:t>
            </w:r>
          </w:p>
        </w:tc>
        <w:tc>
          <w:tcPr>
            <w:tcW w:type="dxa" w:w="24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$28,989</w:t>
            </w:r>
          </w:p>
        </w:tc>
        <w:tc>
          <w:tcPr>
            <w:tcW w:type="dxa" w:w="24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$89,506</w:t>
            </w:r>
          </w:p>
        </w:tc>
      </w:tr>
      <w:tr>
        <w:tc>
          <w:tcPr>
            <w:tcW w:type="dxa" w:w="44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California income tax</w:t>
            </w:r>
          </w:p>
        </w:tc>
        <w:tc>
          <w:tcPr>
            <w:tcW w:type="dxa" w:w="24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$11,567</w:t>
            </w:r>
          </w:p>
        </w:tc>
        <w:tc>
          <w:tcPr>
            <w:tcW w:type="dxa" w:w="24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$34,539</w:t>
            </w:r>
          </w:p>
        </w:tc>
      </w:tr>
      <w:tr>
        <w:tc>
          <w:tcPr>
            <w:tcW w:type="dxa" w:w="44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Employee payroll tax</w:t>
            </w:r>
          </w:p>
        </w:tc>
        <w:tc>
          <w:tcPr>
            <w:tcW w:type="dxa" w:w="24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$14,514</w:t>
            </w:r>
          </w:p>
        </w:tc>
        <w:tc>
          <w:tcPr>
            <w:tcW w:type="dxa" w:w="24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$25,945</w:t>
            </w:r>
          </w:p>
        </w:tc>
      </w:tr>
      <w:tr>
        <w:tc>
          <w:tcPr>
            <w:tcW w:type="dxa" w:w="44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Total modeled taxes</w:t>
            </w:r>
          </w:p>
        </w:tc>
        <w:tc>
          <w:tcPr>
            <w:tcW w:type="dxa" w:w="24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$55,069</w:t>
            </w:r>
          </w:p>
        </w:tc>
        <w:tc>
          <w:tcPr>
            <w:tcW w:type="dxa" w:w="248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$149,990</w:t>
            </w:r>
          </w:p>
        </w:tc>
      </w:tr>
    </w:tbl>
    <w:p>
      <w:pPr>
        <w:widowControl w:val="0"/>
        <w:spacing w:line="480" w:lineRule="auto" w:before="0" w:after="0"/>
      </w:pPr>
      <w:r>
        <w:rPr>
          <w:rFonts w:ascii="Times New Roman" w:hAnsi="Times New Roman"/>
          <w:b w:val="0"/>
          <w:color w:val="000000"/>
          <w:sz w:val="24"/>
        </w:rPr>
        <w:t>Payroll tax = 6.2% of wages up to $184,500, plus 1.45% of all wages, plus 0.9% above $250,000 for this joint household. California civilian wages also incur 1.3% SDI (SSA, 2026; EDD, 2026). Military allowances are excluded from wages.</w:t>
      </w:r>
    </w:p>
    <w:p>
      <w:pPr>
        <w:widowControl w:val="0"/>
        <w:spacing w:line="480" w:lineRule="auto" w:before="0" w:after="0"/>
      </w:pPr>
      <w:r>
        <w:rPr>
          <w:rFonts w:ascii="Times New Roman" w:hAnsi="Times New Roman"/>
          <w:b w:val="0"/>
          <w:color w:val="000000"/>
          <w:sz w:val="24"/>
        </w:rPr>
        <w:t>Civilian value = $459,057 - $149,989.96 + $16,560 - $6,850 - $13,771.71 = $305,005.33. Navy year-1 value = $276,965.76 - $55,068.94 + $5,652 = $227,548.82. Difference = $77,456.51.</w:t>
      </w:r>
    </w:p>
    <w:p>
      <w:r>
        <w:br w:type="page"/>
      </w:r>
    </w:p>
    <w:p>
      <w:pPr>
        <w:keepNext/>
        <w:widowControl w:val="0"/>
        <w:spacing w:line="480" w:lineRule="auto" w:before="0" w:after="0"/>
      </w:pPr>
      <w:r>
        <w:rPr>
          <w:rFonts w:ascii="Times New Roman" w:hAnsi="Times New Roman"/>
          <w:b/>
          <w:color w:val="000000"/>
          <w:sz w:val="24"/>
        </w:rPr>
        <w:t>Appendix D  Pension and present value</w:t>
      </w:r>
    </w:p>
    <w:p>
      <w:pPr>
        <w:widowControl w:val="0"/>
        <w:spacing w:line="480" w:lineRule="auto" w:before="0" w:after="0"/>
      </w:pPr>
      <w:r>
        <w:rPr>
          <w:rFonts w:ascii="Times New Roman" w:hAnsi="Times New Roman"/>
          <w:b w:val="0"/>
          <w:color w:val="000000"/>
          <w:sz w:val="24"/>
        </w:rPr>
        <w:t>Define A(r,n) = [1 - (1+r)^(-n)] / r. For n remaining years, the pension value is annual pension times A(0.03,30), divided by (1.03)^n. Each remaining annual compensation gap is divided by (1.05)^t, with t starting at 1.</w:t>
      </w:r>
    </w:p>
    <w:p>
      <w:pPr>
        <w:widowControl w:val="0"/>
        <w:spacing w:line="480" w:lineRule="auto" w:before="0" w:after="0"/>
      </w:pPr>
      <w:r>
        <w:rPr>
          <w:rFonts w:ascii="Times New Roman" w:hAnsi="Times New Roman"/>
          <w:b w:val="0"/>
          <w:color w:val="000000"/>
          <w:sz w:val="24"/>
        </w:rPr>
        <w:t>High-3 basic pay = ($124,819.20 + $126,118.80 + $126,118.80) / 3 = $125,685.60. The BRS annual pension is 2% times 20 years times High-3 = $50,274.24 (DoD, n.d.). The first of 30 pension payments occurs one year after retirement.</w:t>
      </w:r>
    </w:p>
    <w:p>
      <w:pPr>
        <w:widowControl w:val="0"/>
        <w:spacing w:line="480" w:lineRule="auto" w:before="0" w:after="0"/>
      </w:pPr>
      <w:r>
        <w:rPr>
          <w:rFonts w:ascii="Times New Roman" w:hAnsi="Times New Roman"/>
          <w:b w:val="0"/>
          <w:color w:val="000000"/>
          <w:sz w:val="24"/>
        </w:rPr>
        <w:t>At 10 years, gross pension PV = $733,228.13. Subtracting the gross remaining pay gap of $1,349,196.04 gives -$615,967.91. Applying a flat illustrative 32% federal pension tax gives pension PV of $498,595.13. Subtracting the adjusted compensation gap of $557,014.21 gives -$58,419.08.</w:t>
      </w:r>
    </w:p>
    <w:p>
      <w:pPr>
        <w:widowControl w:val="0"/>
        <w:spacing w:line="480" w:lineRule="auto" w:before="0" w:after="0"/>
      </w:pPr>
      <w:r>
        <w:rPr>
          <w:rFonts w:ascii="Times New Roman" w:hAnsi="Times New Roman"/>
          <w:b w:val="0"/>
          <w:color w:val="000000"/>
          <w:sz w:val="24"/>
        </w:rPr>
        <w:t>At each later service year, discard completed compensation years and discount the remaining gaps from that decision date. Keep the same retirement pension. Interpolate between the last negative and first positive net value. This gives 14.27 years for gross compensation and 10.90 for the adjusted comparison.</w:t>
      </w:r>
    </w:p>
    <w:p>
      <w:pPr>
        <w:widowControl w:val="0"/>
        <w:spacing w:line="480" w:lineRule="auto" w:before="0" w:after="0"/>
      </w:pPr>
      <w:r>
        <w:rPr>
          <w:rFonts w:ascii="Times New Roman" w:hAnsi="Times New Roman"/>
          <w:b w:val="0"/>
          <w:color w:val="000000"/>
          <w:sz w:val="24"/>
        </w:rPr>
        <w:t>No pension probability adjustment is made. A 32% pension tax for all 30 payments is a simplification: actual rates depend on later earnings, deductions, residence, and tax law. Appendix E tests a higher combined pension-tax assumption.</w:t>
      </w:r>
    </w:p>
    <w:p>
      <w:r>
        <w:br w:type="page"/>
      </w:r>
    </w:p>
    <w:p>
      <w:pPr>
        <w:keepNext/>
        <w:widowControl w:val="0"/>
        <w:spacing w:line="480" w:lineRule="auto" w:before="0" w:after="0"/>
      </w:pPr>
      <w:r>
        <w:rPr>
          <w:rFonts w:ascii="Times New Roman" w:hAnsi="Times New Roman"/>
          <w:b/>
          <w:color w:val="000000"/>
          <w:sz w:val="24"/>
        </w:rPr>
        <w:t>Appendix D  Cumulative adjustments</w:t>
      </w:r>
    </w:p>
    <w:p>
      <w:pPr>
        <w:widowControl w:val="0"/>
        <w:spacing w:line="480" w:lineRule="auto" w:before="0" w:after="0"/>
      </w:pPr>
      <w:r>
        <w:rPr>
          <w:rFonts w:ascii="Times New Roman" w:hAnsi="Times New Roman"/>
          <w:b w:val="0"/>
          <w:color w:val="000000"/>
          <w:sz w:val="24"/>
        </w:rPr>
        <w:t>Table D1. Net value of staying at 10 years, rounded to dollars; each row adds the stated change. Positive values favor staying. The cash and pension paths share the same longevity schedule and High-3 base.</w:t>
      </w:r>
    </w:p>
    <w:tbl>
      <w:tblPr>
        <w:tblW w:type="auto" w:w="0"/>
        <w:tblLayout w:type="fixed"/>
        <w:tblLook w:firstColumn="1" w:firstRow="1" w:lastColumn="0" w:lastRow="0" w:noHBand="0" w:noVBand="1" w:val="04A0"/>
      </w:tblPr>
      <w:tblGrid>
        <w:gridCol w:w="6800"/>
        <w:gridCol w:w="2560"/>
      </w:tblGrid>
      <w:tr>
        <w:trPr>
          <w:tblHeader/>
        </w:trPr>
        <w:tc>
          <w:tcPr>
            <w:tcW w:type="dxa" w:w="680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Comparison</w:t>
            </w:r>
          </w:p>
        </w:tc>
        <w:tc>
          <w:tcPr>
            <w:tcW w:type="dxa" w:w="256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Net value</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Gross compensation; untaxed pension</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-$615,968</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Taxes and current benefits</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-$58,419</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Add retiree health value</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$3,854</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Add no-income-tax Navy domicile</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$98,456</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Add assumed continuation pay</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$114,808</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Add 5% later civilian pay penalty</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$29,072</w:t>
            </w:r>
          </w:p>
        </w:tc>
      </w:tr>
    </w:tbl>
    <w:p>
      <w:pPr>
        <w:widowControl w:val="0"/>
        <w:spacing w:line="480" w:lineRule="auto" w:before="0" w:after="0"/>
      </w:pPr>
      <w:r>
        <w:rPr>
          <w:rFonts w:ascii="Times New Roman" w:hAnsi="Times New Roman"/>
          <w:b w:val="0"/>
          <w:color w:val="000000"/>
          <w:sz w:val="24"/>
        </w:rPr>
        <w:t>Retiree health PV = $6,085 times A(0.03,18) / (1.03)^10 = $62,273.31. Removing active-duty Navy state income tax saves $94,602.25 in PV. Continuation pay contributes $16,351.50 after incremental federal and payroll tax, discounted two years.</w:t>
      </w:r>
    </w:p>
    <w:p>
      <w:pPr>
        <w:widowControl w:val="0"/>
        <w:spacing w:line="480" w:lineRule="auto" w:before="0" w:after="0"/>
      </w:pPr>
      <w:r>
        <w:rPr>
          <w:rFonts w:ascii="Times New Roman" w:hAnsi="Times New Roman"/>
          <w:b w:val="0"/>
          <w:color w:val="000000"/>
          <w:sz w:val="24"/>
        </w:rPr>
        <w:t>The later earnings penalty costs $85,736.06 in PV. It compares civilian pay of $459,057 and $436,104.15 after modeled wage taxes, employer match, and 3% insurance, for 18 years after retirement. Fixed health premiums cancel. These scenarios are not additive beyond the sequence shown.</w:t>
      </w:r>
    </w:p>
    <w:p>
      <w:r>
        <w:br w:type="page"/>
      </w:r>
    </w:p>
    <w:p>
      <w:pPr>
        <w:keepNext/>
        <w:widowControl w:val="0"/>
        <w:spacing w:line="480" w:lineRule="auto" w:before="0" w:after="0"/>
      </w:pPr>
      <w:r>
        <w:rPr>
          <w:rFonts w:ascii="Times New Roman" w:hAnsi="Times New Roman"/>
          <w:b/>
          <w:color w:val="000000"/>
          <w:sz w:val="24"/>
        </w:rPr>
        <w:t>Appendix E  Sensitivity and model boundaries</w:t>
      </w:r>
    </w:p>
    <w:tbl>
      <w:tblPr>
        <w:tblW w:type="auto" w:w="0"/>
        <w:tblLayout w:type="fixed"/>
        <w:tblLook w:firstColumn="1" w:firstRow="1" w:lastColumn="0" w:lastRow="0" w:noHBand="0" w:noVBand="1" w:val="04A0"/>
      </w:tblPr>
      <w:tblGrid>
        <w:gridCol w:w="6800"/>
        <w:gridCol w:w="2560"/>
      </w:tblGrid>
      <w:tr>
        <w:trPr>
          <w:tblHeader/>
        </w:trPr>
        <w:tc>
          <w:tcPr>
            <w:tcW w:type="dxa" w:w="680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Change from adjusted base</w:t>
            </w:r>
          </w:p>
        </w:tc>
        <w:tc>
          <w:tcPr>
            <w:tcW w:type="dxa" w:w="2560"/>
            <w:tcBorders>
              <w:top w:val="single" w:sz="4" w:color="D9D9D9"/>
              <w:left w:val="single" w:sz="4" w:color="D9D9D9"/>
              <w:bottom w:val="single" w:sz="4" w:color="D9D9D9"/>
              <w:right w:val="single" w:sz="4" w:color="D9D9D9"/>
            </w:tcBorders>
            <w:shd w:fill="EEEEEE"/>
          </w:tcPr>
          <w:p>
            <w:pPr>
              <w:spacing w:line="480" w:lineRule="auto" w:after="0"/>
            </w:pPr>
            <w:r>
              <w:rPr>
                <w:rFonts w:ascii="Times New Roman" w:hAnsi="Times New Roman"/>
                <w:b/>
                <w:sz w:val="24"/>
              </w:rPr>
              <w:t>Net value of staying</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Base: California wages, 3% pension discount</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-$58,419</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Pension discount 5%</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-$234,384</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Civilian salary $400,000</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$201,025</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Civilian salary $350,000</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$436,422</w:t>
            </w:r>
          </w:p>
        </w:tc>
      </w:tr>
      <w:tr>
        <w:tc>
          <w:tcPr>
            <w:tcW w:type="dxa" w:w="680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Pension tax 41.3% instead of 32%</w:t>
            </w:r>
          </w:p>
        </w:tc>
        <w:tc>
          <w:tcPr>
            <w:tcW w:type="dxa" w:w="2560"/>
            <w:tcBorders>
              <w:top w:val="single" w:sz="4" w:color="D9D9D9"/>
              <w:left w:val="single" w:sz="4" w:color="D9D9D9"/>
              <w:bottom w:val="single" w:sz="4" w:color="D9D9D9"/>
              <w:right w:val="single" w:sz="4" w:color="D9D9D9"/>
            </w:tcBorders>
          </w:tcPr>
          <w:p>
            <w:pPr>
              <w:spacing w:line="480" w:lineRule="auto" w:after="0"/>
            </w:pPr>
            <w:r>
              <w:rPr>
                <w:rFonts w:ascii="Times New Roman" w:hAnsi="Times New Roman"/>
                <w:b w:val="0"/>
                <w:sz w:val="24"/>
              </w:rPr>
              <w:t>-$126,609</w:t>
            </w:r>
          </w:p>
        </w:tc>
      </w:tr>
    </w:tbl>
    <w:p>
      <w:pPr>
        <w:widowControl w:val="0"/>
        <w:spacing w:line="480" w:lineRule="auto" w:before="0" w:after="0"/>
      </w:pPr>
      <w:r>
        <w:rPr>
          <w:rFonts w:ascii="Times New Roman" w:hAnsi="Times New Roman"/>
          <w:b w:val="0"/>
          <w:color w:val="000000"/>
          <w:sz w:val="24"/>
        </w:rPr>
        <w:t>Each sensitivity changes one input. Lower civilian salary also changes its taxes and 3% insurance cost. Pension tax of 41.3% adds an illustrative 9.3-percentage-point state burden; it is not a forecast of residence or a complete future tax calculation.</w:t>
      </w:r>
    </w:p>
    <w:p>
      <w:pPr>
        <w:widowControl w:val="0"/>
        <w:spacing w:line="480" w:lineRule="auto" w:before="0" w:after="0"/>
      </w:pPr>
      <w:r>
        <w:rPr>
          <w:rFonts w:ascii="Times New Roman" w:hAnsi="Times New Roman"/>
          <w:b w:val="0"/>
          <w:color w:val="000000"/>
          <w:sz w:val="24"/>
        </w:rPr>
        <w:t>The benchmark combines employer types and experience levels. The model treats it as an employee offer with separately specified benefits; an actual offer may have different hours, call, productivity risk, retirement terms, or insurance coverage. Those differences must be checked before drawing an individual conclusion.</w:t>
      </w:r>
    </w:p>
    <w:p>
      <w:pPr>
        <w:widowControl w:val="0"/>
        <w:spacing w:line="480" w:lineRule="auto" w:before="0" w:after="0"/>
      </w:pPr>
      <w:r>
        <w:rPr>
          <w:rFonts w:ascii="Times New Roman" w:hAnsi="Times New Roman"/>
          <w:b w:val="0"/>
          <w:color w:val="000000"/>
          <w:sz w:val="24"/>
        </w:rPr>
        <w:t>The comparison does not estimate retention elasticity, command vacancies, replacement costs, or readiness outcomes. Financial break-even is not evidence of a bonus effect. Promotion, clinical re-entry, medical separation, future pension taxation, and personal preferences can change the result.</w:t>
      </w:r>
    </w:p>
    <w:p>
      <w:r>
        <w:br w:type="page"/>
      </w:r>
    </w:p>
    <w:p>
      <w:pPr>
        <w:keepNext/>
        <w:widowControl w:val="0"/>
        <w:spacing w:line="480" w:lineRule="auto" w:before="0" w:after="0"/>
      </w:pPr>
      <w:r>
        <w:rPr>
          <w:rFonts w:ascii="Times New Roman" w:hAnsi="Times New Roman"/>
          <w:b/>
          <w:color w:val="000000"/>
          <w:sz w:val="24"/>
        </w:rPr>
        <w:t>Appendix F  Adapted counseling materials</w:t>
      </w:r>
    </w:p>
    <w:p>
      <w:pPr>
        <w:widowControl w:val="0"/>
        <w:spacing w:line="480" w:lineRule="auto" w:before="0" w:after="0"/>
      </w:pPr>
      <w:r>
        <w:rPr>
          <w:rFonts w:ascii="Times New Roman" w:hAnsi="Times New Roman"/>
          <w:b w:val="0"/>
          <w:color w:val="000000"/>
          <w:sz w:val="24"/>
        </w:rPr>
        <w:t>These proposed materials adapt NHS Employers (2022, 2025), the Financial Readiness Program (n.d.) counselor checklist, and MyNavy HR (n.d.) training resources. They are designed for this pilot; they are not a validated physician-retention intervention.</w:t>
      </w:r>
    </w:p>
    <w:p>
      <w:pPr>
        <w:widowControl w:val="0"/>
        <w:spacing w:line="480" w:lineRule="auto" w:before="0" w:after="0"/>
      </w:pPr>
      <w:r>
        <w:rPr>
          <w:rFonts w:ascii="Times New Roman" w:hAnsi="Times New Roman"/>
          <w:b w:val="0"/>
          <w:color w:val="000000"/>
          <w:sz w:val="24"/>
        </w:rPr>
        <w:t>F1. Personalized compensation statement. Record specialty, service years, obligation end date, retirement system, household assumptions, and the date of each pay source. Compare leaving when eligible with staying to retirement using the same time horizon. Show annual after-tax cash separately from employer contributions and pension present value. Include BAH/BAS, special pays, bonus obligations, insurance, and civilian offer terms. Show uncertainty ranges and allow the physician to correct inputs.</w:t>
      </w:r>
    </w:p>
    <w:p>
      <w:pPr>
        <w:widowControl w:val="0"/>
        <w:spacing w:line="480" w:lineRule="auto" w:before="0" w:after="0"/>
      </w:pPr>
      <w:r>
        <w:rPr>
          <w:rFonts w:ascii="Times New Roman" w:hAnsi="Times New Roman"/>
          <w:b w:val="0"/>
          <w:color w:val="000000"/>
          <w:sz w:val="24"/>
        </w:rPr>
        <w:t>F2. Counseling checklist. Confirm eligibility and current benefit rules; explain contingent benefits and added service obligations; review the actual civilian offer or label any benchmark; discuss taxes and pension assumptions; ask the physician to explain the main tradeoff in their own words; record corrections, unresolved questions, and a follow-up date. A financial counselor handles the comparison, with personnel specialists verifying eligibility.</w:t>
      </w:r>
    </w:p>
    <w:p>
      <w:pPr>
        <w:widowControl w:val="0"/>
        <w:spacing w:line="480" w:lineRule="auto" w:before="0" w:after="0"/>
      </w:pPr>
      <w:r>
        <w:rPr>
          <w:rFonts w:ascii="Times New Roman" w:hAnsi="Times New Roman"/>
          <w:b w:val="0"/>
          <w:color w:val="000000"/>
          <w:sz w:val="24"/>
        </w:rPr>
        <w:t>F3. Reasons for leaving. Ask the physician to rank compensation, workload, deployment, clinical practice, autonomy, location, and family needs, with space for other reasons. Ask which change could affect the decision. Record benefits knowledge separately from satisfaction so accurate understanding is not mistaken for a desire to stay.</w:t>
      </w:r>
    </w:p>
    <w:p>
      <w:r>
        <w:br w:type="page"/>
      </w:r>
    </w:p>
    <w:p>
      <w:pPr>
        <w:keepNext/>
        <w:widowControl w:val="0"/>
        <w:spacing w:line="480" w:lineRule="auto" w:before="0" w:after="0"/>
      </w:pPr>
      <w:r>
        <w:rPr>
          <w:rFonts w:ascii="Times New Roman" w:hAnsi="Times New Roman"/>
          <w:b/>
          <w:color w:val="000000"/>
          <w:sz w:val="24"/>
        </w:rPr>
        <w:t>Appendix F  Delivery and evaluation plan</w:t>
      </w:r>
    </w:p>
    <w:p>
      <w:pPr>
        <w:widowControl w:val="0"/>
        <w:spacing w:line="480" w:lineRule="auto" w:before="0" w:after="0"/>
      </w:pPr>
      <w:r>
        <w:rPr>
          <w:rFonts w:ascii="Times New Roman" w:hAnsi="Times New Roman"/>
          <w:b w:val="0"/>
          <w:color w:val="000000"/>
          <w:sz w:val="24"/>
        </w:rPr>
        <w:t>F4. Communication plan. The pilot lead maintains a schedule identifying audience, message, delivery channel, owner, and completion date, following NHS Employers (2022). Invite eligible physicians before their obligation ends; offer a private statement review and a short individual session; provide a written summary and a route to correct errors. Train counselors on the same material and record attendance and session duration.</w:t>
      </w:r>
    </w:p>
    <w:p>
      <w:pPr>
        <w:widowControl w:val="0"/>
        <w:spacing w:line="480" w:lineRule="auto" w:before="0" w:after="0"/>
      </w:pPr>
      <w:r>
        <w:rPr>
          <w:rFonts w:ascii="Times New Roman" w:hAnsi="Times New Roman"/>
          <w:b w:val="0"/>
          <w:color w:val="000000"/>
          <w:sz w:val="24"/>
        </w:rPr>
        <w:t>F5. Knowledge measure. Before counseling and at six months, use the same five scored questions with answers checked against current rules: identify taxable versus tax-exempt pay; identify pension eligibility; explain the bonus obligation; distinguish annual cash from pension present value; and identify an assumption that could reverse the comparison. Record the score from zero to five. This proposed instrument requires comprehension testing before use.</w:t>
      </w:r>
    </w:p>
    <w:p>
      <w:pPr>
        <w:widowControl w:val="0"/>
        <w:spacing w:line="480" w:lineRule="auto" w:before="0" w:after="0"/>
      </w:pPr>
      <w:r>
        <w:rPr>
          <w:rFonts w:ascii="Times New Roman" w:hAnsi="Times New Roman"/>
          <w:b w:val="0"/>
          <w:color w:val="000000"/>
          <w:sz w:val="24"/>
        </w:rPr>
        <w:t>F6. Outcome record. For each assigned physician, record command, specialty, service stage, baseline knowledge, treatment assignment, participation, six-month knowledge, and active-service status 24 months after the original obligation ends. Record separation reasons and distinguish voluntary departures from involuntary losses. Keep physicians in their assigned groups for analysis and report missing outcomes.</w:t>
      </w:r>
    </w:p>
    <w:p>
      <w:pPr>
        <w:widowControl w:val="0"/>
        <w:spacing w:line="480" w:lineRule="auto" w:before="0" w:after="0"/>
      </w:pPr>
      <w:r>
        <w:rPr>
          <w:rFonts w:ascii="Times New Roman" w:hAnsi="Times New Roman"/>
          <w:b w:val="0"/>
          <w:color w:val="000000"/>
          <w:sz w:val="24"/>
        </w:rPr>
        <w:t>F7. Cost and decision record. Compare retention proportions using the prespecified analysis with command clustering. Divide incremental program cost by estimated additional physicians retained only when that estimate is positive. Report uncertainty and avoid a cost-effectiveness claim when the effect is indistinguishable from zero. The main-text expansion thresholds require approval before results are observed; source programs do not establish those numerical targets.</w:t>
      </w:r>
    </w:p>
    <w:sectPr>
      <w:pgSz w:w="12240" w:h="15840"/>
      <w:pgMar w:top="1440" w:bottom="1440" w:left="1440" w:right="1440" w:header="720" w:footer="72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pPr>
      <w:spacing w:before="0" w:after="0" w:line="480" w:lineRule="auto"/>
    </w:pPr>
    <w:rPr>
      <w:rFonts w:ascii="Times New Roman" w:hAnsi="Times New Roman"/>
      <w:color w:val="000000"/>
      <w:sz w:val="24"/>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image" Target="media/39ea8cc73ae38c30ab1247849943ae085eaed7e7.png"/><Relationship Id="rId12" Type="http://schemas.openxmlformats.org/officeDocument/2006/relationships/image" Target="media/9e93470050a7301d140fb48b9ee1441cd8b94b7e.png"/><Relationship Id="rId13" Type="http://schemas.openxmlformats.org/officeDocument/2006/relationships/fontTable" Target="fontTable.xml"/><Relationship Id="rId14" Type="http://schemas.openxmlformats.org/officeDocument/2006/relationships/image" Target="media/image1.png"/><Relationship Id="rId15"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2026-09-30T06:19:38.693Z</dcterms:created>
  <dcterms:modified xsi:type="dcterms:W3CDTF">2026-09-30T06:19:38.693Z</dcterms:modified>
  <dc:description/>
  <cp:keywords/>
  <dc:subject/>
  <dc:title>Navy physician retention and financial opportunity cost</dc:title>
</cp:coreProperties>
</file>

<file path=docProps/custom.xml><?xml version="1.0" encoding="utf-8"?>
<Properties xmlns="http://schemas.openxmlformats.org/officeDocument/2006/custom-properties" xmlns:vt="http://schemas.openxmlformats.org/officeDocument/2006/docPropsVTypes"/>
</file>